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28" w:rsidRDefault="00BA2276" w:rsidP="00FA7D8E">
      <w:pPr>
        <w:pStyle w:val="Heading1"/>
        <w:tabs>
          <w:tab w:val="center" w:pos="4968"/>
        </w:tabs>
        <w:suppressAutoHyphens/>
        <w:jc w:val="center"/>
        <w:rPr>
          <w:sz w:val="28"/>
          <w:szCs w:val="28"/>
        </w:rPr>
      </w:pPr>
      <w:r>
        <w:rPr>
          <w:sz w:val="28"/>
          <w:szCs w:val="28"/>
        </w:rPr>
        <w:t>PDA Policies</w:t>
      </w:r>
    </w:p>
    <w:p w:rsidR="006C724C" w:rsidRDefault="006C724C" w:rsidP="006C724C"/>
    <w:p w:rsidR="006C724C" w:rsidRDefault="006C724C" w:rsidP="006C724C">
      <w:pPr>
        <w:pStyle w:val="ListParagraph"/>
        <w:spacing w:after="0" w:line="240" w:lineRule="auto"/>
        <w:ind w:left="0"/>
        <w:rPr>
          <w:rFonts w:ascii="Arial" w:hAnsi="Arial" w:cs="Arial"/>
          <w:b/>
          <w:sz w:val="24"/>
          <w:szCs w:val="24"/>
        </w:rPr>
      </w:pPr>
      <w:r>
        <w:rPr>
          <w:rFonts w:ascii="Arial" w:hAnsi="Arial" w:cs="Arial"/>
          <w:b/>
          <w:sz w:val="24"/>
          <w:szCs w:val="24"/>
        </w:rPr>
        <w:t>Definitions:</w:t>
      </w:r>
    </w:p>
    <w:p w:rsidR="006C724C" w:rsidRDefault="006C724C" w:rsidP="006C724C">
      <w:pPr>
        <w:pStyle w:val="ListParagraph"/>
        <w:spacing w:after="0" w:line="240" w:lineRule="auto"/>
        <w:ind w:left="0"/>
        <w:rPr>
          <w:rFonts w:ascii="Arial" w:hAnsi="Arial" w:cs="Arial"/>
          <w:b/>
          <w:sz w:val="24"/>
          <w:szCs w:val="24"/>
        </w:rPr>
      </w:pPr>
    </w:p>
    <w:p w:rsidR="006C724C" w:rsidRPr="00AC6615" w:rsidRDefault="006C724C" w:rsidP="006C724C">
      <w:pPr>
        <w:pStyle w:val="ListParagraph"/>
        <w:spacing w:after="0" w:line="240" w:lineRule="auto"/>
        <w:ind w:left="0"/>
        <w:rPr>
          <w:rFonts w:ascii="Arial" w:hAnsi="Arial" w:cs="Arial"/>
          <w:i/>
          <w:strike/>
          <w:sz w:val="24"/>
          <w:szCs w:val="24"/>
        </w:rPr>
      </w:pPr>
      <w:r>
        <w:rPr>
          <w:rFonts w:ascii="Arial" w:hAnsi="Arial" w:cs="Arial"/>
          <w:b/>
          <w:sz w:val="24"/>
          <w:szCs w:val="24"/>
        </w:rPr>
        <w:t>Policy</w:t>
      </w:r>
      <w:r>
        <w:rPr>
          <w:rFonts w:ascii="Arial" w:hAnsi="Arial" w:cs="Arial"/>
          <w:i/>
          <w:sz w:val="24"/>
          <w:szCs w:val="24"/>
        </w:rPr>
        <w:t xml:space="preserve"> - A directive not rising to the level of a bylaw which provides guidance for specific Association operations or recurring issues that are essential to PDA.  PDA Bylaws specify that the authority to create policy rests with the Board of Trustees</w:t>
      </w:r>
      <w:r w:rsidR="00887A25">
        <w:rPr>
          <w:rFonts w:ascii="Arial" w:hAnsi="Arial" w:cs="Arial"/>
          <w:i/>
          <w:sz w:val="24"/>
          <w:szCs w:val="24"/>
        </w:rPr>
        <w:t>.</w:t>
      </w:r>
      <w:r>
        <w:rPr>
          <w:rFonts w:ascii="Arial" w:hAnsi="Arial" w:cs="Arial"/>
          <w:i/>
          <w:sz w:val="24"/>
          <w:szCs w:val="24"/>
        </w:rPr>
        <w:t xml:space="preserve"> </w:t>
      </w:r>
    </w:p>
    <w:p w:rsidR="006C724C" w:rsidRPr="00AC6615" w:rsidRDefault="006C724C" w:rsidP="006C724C">
      <w:pPr>
        <w:pStyle w:val="ListParagraph"/>
        <w:spacing w:after="0" w:line="240" w:lineRule="auto"/>
        <w:ind w:left="0"/>
        <w:rPr>
          <w:rFonts w:ascii="Arial" w:hAnsi="Arial" w:cs="Arial"/>
          <w:strike/>
          <w:sz w:val="24"/>
          <w:szCs w:val="24"/>
        </w:rPr>
      </w:pPr>
    </w:p>
    <w:p w:rsidR="006C724C" w:rsidRDefault="006C724C" w:rsidP="006C724C">
      <w:pPr>
        <w:pStyle w:val="ListParagraph"/>
        <w:spacing w:after="0" w:line="240" w:lineRule="auto"/>
        <w:ind w:left="0"/>
        <w:rPr>
          <w:rFonts w:ascii="Arial" w:hAnsi="Arial" w:cs="Arial"/>
          <w:i/>
          <w:sz w:val="24"/>
          <w:szCs w:val="24"/>
        </w:rPr>
      </w:pPr>
      <w:r>
        <w:rPr>
          <w:rFonts w:ascii="Arial" w:hAnsi="Arial" w:cs="Arial"/>
          <w:b/>
          <w:sz w:val="24"/>
          <w:szCs w:val="24"/>
        </w:rPr>
        <w:t>Financial Policy</w:t>
      </w:r>
      <w:r>
        <w:rPr>
          <w:rFonts w:ascii="Arial" w:hAnsi="Arial" w:cs="Arial"/>
          <w:i/>
          <w:sz w:val="24"/>
          <w:szCs w:val="24"/>
        </w:rPr>
        <w:t xml:space="preserve"> - A policy directly related to Association finances.</w:t>
      </w:r>
    </w:p>
    <w:p w:rsidR="006C724C" w:rsidRDefault="006C724C" w:rsidP="006C724C">
      <w:pPr>
        <w:pStyle w:val="ListParagraph"/>
        <w:spacing w:after="0" w:line="240" w:lineRule="auto"/>
        <w:ind w:left="0"/>
        <w:rPr>
          <w:rFonts w:ascii="Arial" w:hAnsi="Arial" w:cs="Arial"/>
          <w:sz w:val="24"/>
          <w:szCs w:val="24"/>
        </w:rPr>
      </w:pPr>
    </w:p>
    <w:p w:rsidR="006C724C" w:rsidRDefault="006C724C" w:rsidP="006C724C">
      <w:pPr>
        <w:pStyle w:val="ListParagraph"/>
        <w:spacing w:after="0" w:line="240" w:lineRule="auto"/>
        <w:ind w:left="0"/>
        <w:rPr>
          <w:rFonts w:ascii="Arial" w:hAnsi="Arial" w:cs="Arial"/>
          <w:i/>
          <w:sz w:val="24"/>
          <w:szCs w:val="24"/>
        </w:rPr>
      </w:pPr>
      <w:r>
        <w:rPr>
          <w:rFonts w:ascii="Arial" w:hAnsi="Arial" w:cs="Arial"/>
          <w:b/>
          <w:sz w:val="24"/>
          <w:szCs w:val="24"/>
        </w:rPr>
        <w:t>Position</w:t>
      </w:r>
      <w:r>
        <w:rPr>
          <w:rFonts w:ascii="Arial" w:hAnsi="Arial" w:cs="Arial"/>
          <w:i/>
          <w:sz w:val="24"/>
          <w:szCs w:val="24"/>
        </w:rPr>
        <w:t xml:space="preserve"> - A directive providing guidance regarding issues external to the Association.</w:t>
      </w:r>
    </w:p>
    <w:p w:rsidR="006C724C" w:rsidRDefault="006C724C" w:rsidP="006C724C">
      <w:pPr>
        <w:pStyle w:val="ListParagraph"/>
        <w:spacing w:after="0" w:line="240" w:lineRule="auto"/>
        <w:ind w:left="0"/>
        <w:rPr>
          <w:rFonts w:ascii="Arial" w:hAnsi="Arial" w:cs="Arial"/>
          <w:sz w:val="24"/>
          <w:szCs w:val="24"/>
        </w:rPr>
      </w:pPr>
    </w:p>
    <w:p w:rsidR="006C724C" w:rsidRDefault="006C724C" w:rsidP="006C724C">
      <w:pPr>
        <w:pStyle w:val="ListParagraph"/>
        <w:spacing w:after="0" w:line="240" w:lineRule="auto"/>
        <w:ind w:left="0"/>
        <w:rPr>
          <w:rFonts w:ascii="Arial" w:hAnsi="Arial" w:cs="Arial"/>
          <w:i/>
          <w:sz w:val="24"/>
          <w:szCs w:val="24"/>
        </w:rPr>
      </w:pPr>
      <w:r>
        <w:rPr>
          <w:rFonts w:ascii="Arial" w:hAnsi="Arial" w:cs="Arial"/>
          <w:b/>
          <w:sz w:val="24"/>
          <w:szCs w:val="24"/>
        </w:rPr>
        <w:t>Procedure</w:t>
      </w:r>
      <w:r>
        <w:rPr>
          <w:rFonts w:ascii="Arial" w:hAnsi="Arial" w:cs="Arial"/>
          <w:i/>
          <w:sz w:val="24"/>
          <w:szCs w:val="24"/>
        </w:rPr>
        <w:t xml:space="preserve"> - A directive providing instruction on routine Association operations.</w:t>
      </w:r>
    </w:p>
    <w:p w:rsidR="006C724C" w:rsidRDefault="006C724C" w:rsidP="006C724C"/>
    <w:p w:rsidR="00A77A88" w:rsidRPr="006C724C" w:rsidRDefault="00A77A88" w:rsidP="006C724C"/>
    <w:p w:rsidR="00620528" w:rsidRDefault="00620528" w:rsidP="00FA7D8E">
      <w:pPr>
        <w:pStyle w:val="Heading1"/>
        <w:tabs>
          <w:tab w:val="center" w:pos="4968"/>
        </w:tabs>
        <w:suppressAutoHyphens/>
        <w:jc w:val="center"/>
      </w:pPr>
    </w:p>
    <w:p w:rsidR="00521CAA" w:rsidRPr="00521CAA" w:rsidRDefault="00521CAA" w:rsidP="00521CAA">
      <w:pPr>
        <w:jc w:val="center"/>
        <w:rPr>
          <w:b/>
        </w:rPr>
      </w:pPr>
      <w:r w:rsidRPr="00521CAA">
        <w:rPr>
          <w:b/>
        </w:rPr>
        <w:t>BOARD OF TRUSTEES</w:t>
      </w:r>
    </w:p>
    <w:p w:rsidR="009B5189" w:rsidRPr="002C7428" w:rsidRDefault="009B5189" w:rsidP="00521CAA">
      <w:pPr>
        <w:rPr>
          <w:strike/>
        </w:rPr>
      </w:pPr>
    </w:p>
    <w:p w:rsidR="00521CAA" w:rsidRPr="00521CAA" w:rsidRDefault="00521CAA" w:rsidP="00521CAA">
      <w:pPr>
        <w:ind w:left="1440" w:hanging="1440"/>
      </w:pPr>
      <w:r>
        <w:t>06/14BT15:</w:t>
      </w:r>
      <w:r>
        <w:tab/>
        <w:t>That PDA trustees must attend a board orientation program before he or she may vote.</w:t>
      </w:r>
    </w:p>
    <w:p w:rsidR="00BA2276" w:rsidRDefault="00BA2276" w:rsidP="00BA2276"/>
    <w:p w:rsidR="00137A59" w:rsidRDefault="00137A59" w:rsidP="00137A59">
      <w:pPr>
        <w:jc w:val="center"/>
      </w:pPr>
    </w:p>
    <w:p w:rsidR="00AF2177" w:rsidRPr="00ED20BC" w:rsidRDefault="00AF2177" w:rsidP="000A2286">
      <w:pPr>
        <w:tabs>
          <w:tab w:val="center" w:pos="4968"/>
        </w:tabs>
        <w:suppressAutoHyphens/>
        <w:jc w:val="center"/>
        <w:rPr>
          <w:b/>
        </w:rPr>
      </w:pPr>
      <w:r w:rsidRPr="00ED20BC">
        <w:rPr>
          <w:b/>
        </w:rPr>
        <w:t>CENTRAL OFFICE</w:t>
      </w:r>
    </w:p>
    <w:p w:rsidR="00AF2177" w:rsidRPr="00ED20BC" w:rsidRDefault="00AF2177">
      <w:pPr>
        <w:tabs>
          <w:tab w:val="left" w:pos="1440"/>
          <w:tab w:val="center" w:pos="4968"/>
        </w:tabs>
        <w:suppressAutoHyphens/>
      </w:pPr>
    </w:p>
    <w:p w:rsidR="00B369E0" w:rsidRPr="00B369E0" w:rsidRDefault="00B369E0" w:rsidP="00B369E0">
      <w:pPr>
        <w:pStyle w:val="BodyTextIndent"/>
        <w:rPr>
          <w:bCs/>
          <w:sz w:val="24"/>
        </w:rPr>
      </w:pPr>
      <w:r w:rsidRPr="00B369E0">
        <w:rPr>
          <w:bCs/>
          <w:sz w:val="24"/>
        </w:rPr>
        <w:t>HD 13-14:</w:t>
      </w:r>
      <w:r w:rsidRPr="00B369E0">
        <w:rPr>
          <w:bCs/>
          <w:sz w:val="24"/>
        </w:rPr>
        <w:tab/>
        <w:t>That the Board of Trustees has the authority to make decisions</w:t>
      </w:r>
      <w:r w:rsidR="00AE4EBE" w:rsidRPr="00AE4EBE">
        <w:rPr>
          <w:bCs/>
          <w:sz w:val="24"/>
        </w:rPr>
        <w:t xml:space="preserve"> </w:t>
      </w:r>
      <w:r w:rsidR="00AE4EBE" w:rsidRPr="00B369E0">
        <w:rPr>
          <w:bCs/>
          <w:sz w:val="24"/>
        </w:rPr>
        <w:t>regarding</w:t>
      </w:r>
    </w:p>
    <w:p w:rsidR="00B369E0" w:rsidRPr="00B369E0" w:rsidRDefault="00B369E0" w:rsidP="00B369E0">
      <w:pPr>
        <w:pStyle w:val="BodyTextIndent"/>
        <w:rPr>
          <w:bCs/>
          <w:sz w:val="24"/>
        </w:rPr>
      </w:pPr>
      <w:r w:rsidRPr="00B369E0">
        <w:rPr>
          <w:bCs/>
          <w:sz w:val="24"/>
        </w:rPr>
        <w:tab/>
      </w:r>
      <w:r>
        <w:rPr>
          <w:bCs/>
          <w:sz w:val="24"/>
        </w:rPr>
        <w:tab/>
      </w:r>
      <w:r w:rsidRPr="00B369E0">
        <w:rPr>
          <w:bCs/>
          <w:sz w:val="24"/>
        </w:rPr>
        <w:t>the relocation of the Central Office.</w:t>
      </w:r>
    </w:p>
    <w:p w:rsidR="00AF2177" w:rsidRPr="00ED20BC" w:rsidRDefault="00AF2177">
      <w:pPr>
        <w:pStyle w:val="BodyTextIndent"/>
      </w:pPr>
    </w:p>
    <w:p w:rsidR="00DE5A74" w:rsidRPr="00ED20BC" w:rsidRDefault="00DE5A74">
      <w:pPr>
        <w:numPr>
          <w:ilvl w:val="12"/>
          <w:numId w:val="0"/>
        </w:numPr>
        <w:tabs>
          <w:tab w:val="center" w:pos="4968"/>
        </w:tabs>
        <w:suppressAutoHyphens/>
        <w:jc w:val="center"/>
        <w:rPr>
          <w:rFonts w:cs="Arial"/>
          <w:caps/>
        </w:rPr>
      </w:pPr>
    </w:p>
    <w:p w:rsidR="00AF2177" w:rsidRPr="00F90D11" w:rsidRDefault="00AF2177" w:rsidP="00877020">
      <w:pPr>
        <w:tabs>
          <w:tab w:val="left" w:pos="-1152"/>
          <w:tab w:val="left" w:pos="-432"/>
          <w:tab w:val="left" w:pos="1008"/>
          <w:tab w:val="left" w:pos="2448"/>
          <w:tab w:val="left" w:pos="3024"/>
          <w:tab w:val="left" w:pos="3456"/>
          <w:tab w:val="left" w:pos="3888"/>
        </w:tabs>
        <w:suppressAutoHyphens/>
        <w:jc w:val="center"/>
      </w:pPr>
      <w:r w:rsidRPr="00ED20BC">
        <w:rPr>
          <w:b/>
        </w:rPr>
        <w:t>COMPONENT SOCIETIES</w:t>
      </w:r>
    </w:p>
    <w:p w:rsidR="00AF2177" w:rsidRPr="00ED20BC" w:rsidRDefault="00AF2177">
      <w:pPr>
        <w:tabs>
          <w:tab w:val="left" w:pos="-1440"/>
          <w:tab w:val="left" w:pos="-720"/>
          <w:tab w:val="left" w:pos="2160"/>
          <w:tab w:val="left" w:pos="2736"/>
        </w:tabs>
        <w:suppressAutoHyphens/>
      </w:pPr>
    </w:p>
    <w:p w:rsidR="00D378D1" w:rsidRPr="00ED20BC" w:rsidRDefault="00D378D1" w:rsidP="00D378D1">
      <w:pPr>
        <w:pStyle w:val="Heading4"/>
        <w:tabs>
          <w:tab w:val="clear" w:pos="1320"/>
          <w:tab w:val="left" w:pos="1440"/>
        </w:tabs>
        <w:ind w:left="1440" w:hanging="1440"/>
        <w:jc w:val="left"/>
        <w:rPr>
          <w:b w:val="0"/>
          <w:bCs/>
        </w:rPr>
      </w:pPr>
      <w:r w:rsidRPr="00ED20BC">
        <w:rPr>
          <w:b w:val="0"/>
          <w:bCs/>
        </w:rPr>
        <w:t>HD 03-12:</w:t>
      </w:r>
      <w:r w:rsidRPr="00ED20BC">
        <w:rPr>
          <w:b w:val="0"/>
          <w:bCs/>
        </w:rPr>
        <w:tab/>
        <w:t xml:space="preserve">That all trustees and district officers </w:t>
      </w:r>
      <w:r w:rsidR="00976D38">
        <w:rPr>
          <w:b w:val="0"/>
          <w:bCs/>
        </w:rPr>
        <w:t xml:space="preserve">be encouraged </w:t>
      </w:r>
      <w:r w:rsidRPr="00ED20BC">
        <w:rPr>
          <w:b w:val="0"/>
          <w:bCs/>
        </w:rPr>
        <w:t>to (1) identify any local dental societies that are not active and take measures to rejuvenate them and (2) visit each of their respective local societies at least once each year.  (3) use PDA and for-profit subsidiary personnel, if necessary, to take PDA’s messages to members at the local</w:t>
      </w:r>
      <w:r w:rsidR="00AE3175" w:rsidRPr="00ED20BC">
        <w:rPr>
          <w:b w:val="0"/>
          <w:bCs/>
        </w:rPr>
        <w:t xml:space="preserve"> level</w:t>
      </w:r>
      <w:r w:rsidRPr="00ED20BC">
        <w:rPr>
          <w:b w:val="0"/>
          <w:bCs/>
        </w:rPr>
        <w:t xml:space="preserve">. </w:t>
      </w:r>
    </w:p>
    <w:p w:rsidR="00D378D1" w:rsidRPr="00ED20BC" w:rsidRDefault="00D378D1">
      <w:pPr>
        <w:suppressAutoHyphens/>
        <w:ind w:left="1440" w:hanging="1440"/>
        <w:rPr>
          <w:spacing w:val="-3"/>
        </w:rPr>
      </w:pPr>
    </w:p>
    <w:p w:rsidR="00AE3175" w:rsidRPr="00ED20BC" w:rsidRDefault="00AE3175" w:rsidP="00432349">
      <w:pPr>
        <w:tabs>
          <w:tab w:val="left" w:pos="1800"/>
        </w:tabs>
        <w:suppressAutoHyphens/>
        <w:jc w:val="center"/>
        <w:rPr>
          <w:b/>
        </w:rPr>
      </w:pPr>
    </w:p>
    <w:p w:rsidR="00AF2177" w:rsidRPr="00ED20BC" w:rsidRDefault="00AF2177" w:rsidP="00432349">
      <w:pPr>
        <w:tabs>
          <w:tab w:val="left" w:pos="1800"/>
        </w:tabs>
        <w:suppressAutoHyphens/>
        <w:jc w:val="center"/>
      </w:pPr>
      <w:r w:rsidRPr="00ED20BC">
        <w:rPr>
          <w:b/>
        </w:rPr>
        <w:t>CONFLICT OF INTEREST</w:t>
      </w:r>
    </w:p>
    <w:p w:rsidR="00AF2177" w:rsidRPr="00ED20BC" w:rsidRDefault="00AF2177">
      <w:pPr>
        <w:pStyle w:val="BodyText"/>
        <w:ind w:left="720"/>
        <w:rPr>
          <w:b w:val="0"/>
          <w:bCs/>
          <w:sz w:val="22"/>
        </w:rPr>
      </w:pPr>
    </w:p>
    <w:p w:rsidR="00DC606C" w:rsidRPr="009522BD" w:rsidRDefault="00DC606C" w:rsidP="006B69D7">
      <w:pPr>
        <w:ind w:left="1440" w:hanging="1440"/>
        <w:rPr>
          <w:szCs w:val="24"/>
        </w:rPr>
      </w:pPr>
      <w:r w:rsidRPr="009522BD">
        <w:rPr>
          <w:caps/>
          <w:szCs w:val="24"/>
        </w:rPr>
        <w:t>8/02BT9:</w:t>
      </w:r>
      <w:r w:rsidRPr="009522BD">
        <w:rPr>
          <w:caps/>
          <w:szCs w:val="24"/>
        </w:rPr>
        <w:tab/>
      </w:r>
      <w:r w:rsidRPr="009522BD">
        <w:rPr>
          <w:szCs w:val="24"/>
        </w:rPr>
        <w:t>That all officers and trustees of the Pennsylvania Dental Association (PDA), as well as chairs and members of committees</w:t>
      </w:r>
      <w:r w:rsidR="00976D38">
        <w:rPr>
          <w:szCs w:val="24"/>
        </w:rPr>
        <w:t>, advisory groups</w:t>
      </w:r>
      <w:r w:rsidRPr="009522BD">
        <w:rPr>
          <w:szCs w:val="24"/>
        </w:rPr>
        <w:t xml:space="preserve"> and task forces be required to sign a Conflict of Interest Statement in order to serve the PDA in such capacities.</w:t>
      </w:r>
      <w:r w:rsidR="008D6CBE">
        <w:rPr>
          <w:szCs w:val="24"/>
        </w:rPr>
        <w:t xml:space="preserve"> </w:t>
      </w:r>
    </w:p>
    <w:p w:rsidR="005526B6" w:rsidRDefault="005526B6"/>
    <w:p w:rsidR="005526B6" w:rsidRDefault="005526B6"/>
    <w:p w:rsidR="005526B6" w:rsidRDefault="005526B6">
      <w:r>
        <w:br w:type="page"/>
      </w:r>
    </w:p>
    <w:p w:rsidR="00AF2177" w:rsidRPr="00ED20BC" w:rsidRDefault="00AF2177" w:rsidP="00955A23">
      <w:pPr>
        <w:pStyle w:val="Technical4"/>
        <w:tabs>
          <w:tab w:val="clear" w:pos="-720"/>
          <w:tab w:val="center" w:pos="4968"/>
        </w:tabs>
        <w:jc w:val="center"/>
        <w:rPr>
          <w:rFonts w:ascii="Arial" w:hAnsi="Arial" w:cs="Arial"/>
        </w:rPr>
      </w:pPr>
      <w:r w:rsidRPr="00ED20BC">
        <w:rPr>
          <w:rFonts w:ascii="Arial" w:hAnsi="Arial" w:cs="Arial"/>
        </w:rPr>
        <w:lastRenderedPageBreak/>
        <w:t>CONTINUING EDUCATION</w:t>
      </w:r>
    </w:p>
    <w:p w:rsidR="00AF2177" w:rsidRPr="00ED20BC" w:rsidRDefault="00AF2177">
      <w:pPr>
        <w:tabs>
          <w:tab w:val="left" w:pos="-1152"/>
          <w:tab w:val="left" w:pos="-432"/>
          <w:tab w:val="left" w:pos="864"/>
          <w:tab w:val="left" w:pos="1440"/>
          <w:tab w:val="left" w:pos="2448"/>
          <w:tab w:val="left" w:pos="3024"/>
          <w:tab w:val="left" w:pos="3456"/>
          <w:tab w:val="left" w:pos="3888"/>
        </w:tabs>
        <w:suppressAutoHyphens/>
      </w:pPr>
    </w:p>
    <w:p w:rsidR="00AF2177" w:rsidRPr="00ED20BC" w:rsidRDefault="000A4FD1">
      <w:pPr>
        <w:tabs>
          <w:tab w:val="left" w:pos="-1152"/>
          <w:tab w:val="left" w:pos="-432"/>
          <w:tab w:val="left" w:pos="1440"/>
        </w:tabs>
        <w:suppressAutoHyphens/>
      </w:pPr>
      <w:r w:rsidRPr="00ED20BC">
        <w:t xml:space="preserve">HD </w:t>
      </w:r>
      <w:r w:rsidR="00AF2177" w:rsidRPr="00ED20BC">
        <w:t>90</w:t>
      </w:r>
      <w:r w:rsidR="00AF2177" w:rsidRPr="00ED20BC">
        <w:noBreakHyphen/>
        <w:t>14:</w:t>
      </w:r>
      <w:r w:rsidR="00AF2177" w:rsidRPr="00ED20BC">
        <w:tab/>
        <w:t>That clinicians in the Pennsylvania Dental Association Continuing Education</w:t>
      </w:r>
    </w:p>
    <w:p w:rsidR="00AF2177" w:rsidRPr="00ED20BC" w:rsidRDefault="00971409">
      <w:pPr>
        <w:suppressAutoHyphens/>
        <w:ind w:left="1440" w:hanging="1440"/>
      </w:pPr>
      <w:r>
        <w:tab/>
      </w:r>
      <w:r w:rsidR="00AF2177" w:rsidRPr="00ED20BC">
        <w:t>Program must be American Dental Association or Pennsylvania Dental Association members if they are eligible for such membership.</w:t>
      </w:r>
    </w:p>
    <w:p w:rsidR="000D6513" w:rsidRDefault="000D6513">
      <w:pPr>
        <w:pStyle w:val="Heading4"/>
        <w:tabs>
          <w:tab w:val="clear" w:pos="-720"/>
          <w:tab w:val="clear" w:pos="0"/>
          <w:tab w:val="clear" w:pos="1320"/>
          <w:tab w:val="clear" w:pos="1800"/>
          <w:tab w:val="clear" w:pos="2880"/>
          <w:tab w:val="center" w:pos="4968"/>
        </w:tabs>
        <w:rPr>
          <w:b w:val="0"/>
        </w:rPr>
      </w:pPr>
    </w:p>
    <w:p w:rsidR="00772A88" w:rsidRDefault="00772A88" w:rsidP="00772A88"/>
    <w:p w:rsidR="00AF2177" w:rsidRPr="00ED20BC" w:rsidRDefault="00320593" w:rsidP="00877020">
      <w:pPr>
        <w:numPr>
          <w:ilvl w:val="12"/>
          <w:numId w:val="0"/>
        </w:numPr>
        <w:tabs>
          <w:tab w:val="left" w:pos="-720"/>
          <w:tab w:val="left" w:pos="2160"/>
          <w:tab w:val="left" w:pos="2736"/>
          <w:tab w:val="left" w:pos="3312"/>
        </w:tabs>
        <w:suppressAutoHyphens/>
        <w:jc w:val="center"/>
        <w:rPr>
          <w:b/>
        </w:rPr>
      </w:pPr>
      <w:r w:rsidRPr="00ED20BC">
        <w:rPr>
          <w:b/>
        </w:rPr>
        <w:t>F</w:t>
      </w:r>
      <w:r w:rsidR="00AF2177" w:rsidRPr="00ED20BC">
        <w:rPr>
          <w:b/>
        </w:rPr>
        <w:t>OR-PROFIT SUBSIDIARIES</w:t>
      </w:r>
    </w:p>
    <w:p w:rsidR="008802E4" w:rsidRPr="00ED20BC" w:rsidRDefault="008802E4" w:rsidP="008802E4">
      <w:pPr>
        <w:pStyle w:val="BodyText21"/>
        <w:numPr>
          <w:ilvl w:val="12"/>
          <w:numId w:val="0"/>
        </w:numPr>
        <w:suppressAutoHyphens/>
        <w:ind w:left="1440" w:hanging="1440"/>
      </w:pPr>
    </w:p>
    <w:p w:rsidR="00090445" w:rsidRDefault="000A4FD1" w:rsidP="00090445">
      <w:pPr>
        <w:pStyle w:val="RightPar2"/>
        <w:numPr>
          <w:ilvl w:val="12"/>
          <w:numId w:val="0"/>
        </w:numPr>
        <w:tabs>
          <w:tab w:val="clear" w:pos="-720"/>
          <w:tab w:val="clear" w:pos="0"/>
          <w:tab w:val="clear" w:pos="720"/>
          <w:tab w:val="clear" w:pos="1440"/>
        </w:tabs>
        <w:suppressAutoHyphens w:val="0"/>
      </w:pPr>
      <w:r w:rsidRPr="00ED20BC">
        <w:rPr>
          <w:rFonts w:ascii="Arial" w:hAnsi="Arial" w:cs="Arial"/>
        </w:rPr>
        <w:t xml:space="preserve">HD </w:t>
      </w:r>
      <w:r w:rsidR="00AF2177" w:rsidRPr="00ED20BC">
        <w:rPr>
          <w:rFonts w:ascii="Arial" w:hAnsi="Arial" w:cs="Arial"/>
        </w:rPr>
        <w:t>99-22</w:t>
      </w:r>
      <w:r w:rsidR="00A77A88">
        <w:rPr>
          <w:rFonts w:ascii="Arial" w:hAnsi="Arial" w:cs="Arial"/>
        </w:rPr>
        <w:t>:</w:t>
      </w:r>
      <w:r w:rsidR="00090445" w:rsidRPr="00ED20BC">
        <w:rPr>
          <w:rFonts w:ascii="Arial" w:hAnsi="Arial" w:cs="Arial"/>
        </w:rPr>
        <w:tab/>
        <w:t xml:space="preserve">That it be the policy of the Pennsylvania Dental Association that the Board of </w:t>
      </w:r>
      <w:r w:rsidR="00090445" w:rsidRPr="00ED20BC">
        <w:rPr>
          <w:rFonts w:ascii="Arial" w:hAnsi="Arial" w:cs="Arial"/>
        </w:rPr>
        <w:tab/>
      </w:r>
      <w:r w:rsidR="00090445" w:rsidRPr="00ED20BC">
        <w:rPr>
          <w:rFonts w:ascii="Arial" w:hAnsi="Arial" w:cs="Arial"/>
        </w:rPr>
        <w:tab/>
        <w:t xml:space="preserve">Directors of any for-profit subsidiary of the Pennsylvania Dental Association </w:t>
      </w:r>
      <w:r w:rsidR="00090445" w:rsidRPr="00ED20BC">
        <w:rPr>
          <w:rFonts w:ascii="Arial" w:hAnsi="Arial" w:cs="Arial"/>
        </w:rPr>
        <w:tab/>
      </w:r>
      <w:r w:rsidR="00090445" w:rsidRPr="00ED20BC">
        <w:rPr>
          <w:rFonts w:ascii="Arial" w:hAnsi="Arial" w:cs="Arial"/>
        </w:rPr>
        <w:tab/>
        <w:t xml:space="preserve">have at least one but no more than one third of its members who are </w:t>
      </w:r>
      <w:r w:rsidR="00090445" w:rsidRPr="00ED20BC">
        <w:rPr>
          <w:rFonts w:ascii="Arial" w:hAnsi="Arial" w:cs="Arial"/>
        </w:rPr>
        <w:tab/>
      </w:r>
      <w:r w:rsidR="00090445" w:rsidRPr="00ED20BC">
        <w:rPr>
          <w:rFonts w:ascii="Arial" w:hAnsi="Arial" w:cs="Arial"/>
        </w:rPr>
        <w:tab/>
      </w:r>
      <w:r w:rsidR="00090445" w:rsidRPr="00ED20BC">
        <w:rPr>
          <w:rFonts w:ascii="Arial" w:hAnsi="Arial" w:cs="Arial"/>
        </w:rPr>
        <w:tab/>
        <w:t>also members of the Pennsylvania Dental Association Board of Trustees.</w:t>
      </w:r>
      <w:r w:rsidR="00090445" w:rsidRPr="00ED20BC">
        <w:t xml:space="preserve"> </w:t>
      </w:r>
    </w:p>
    <w:p w:rsidR="00D63F78" w:rsidRDefault="00D63F78" w:rsidP="00137A59">
      <w:pPr>
        <w:pStyle w:val="RightPar2"/>
        <w:numPr>
          <w:ilvl w:val="12"/>
          <w:numId w:val="0"/>
        </w:numPr>
        <w:tabs>
          <w:tab w:val="clear" w:pos="-720"/>
          <w:tab w:val="clear" w:pos="0"/>
          <w:tab w:val="clear" w:pos="720"/>
          <w:tab w:val="clear" w:pos="1440"/>
        </w:tabs>
        <w:suppressAutoHyphens w:val="0"/>
        <w:rPr>
          <w:rFonts w:ascii="Arial" w:hAnsi="Arial" w:cs="Arial"/>
          <w:szCs w:val="24"/>
        </w:rPr>
      </w:pPr>
    </w:p>
    <w:p w:rsidR="005526B6" w:rsidRDefault="005526B6" w:rsidP="00D63F78">
      <w:pPr>
        <w:pStyle w:val="RightPar2"/>
        <w:numPr>
          <w:ilvl w:val="12"/>
          <w:numId w:val="0"/>
        </w:numPr>
        <w:tabs>
          <w:tab w:val="clear" w:pos="-720"/>
          <w:tab w:val="clear" w:pos="0"/>
          <w:tab w:val="clear" w:pos="720"/>
          <w:tab w:val="clear" w:pos="1440"/>
        </w:tabs>
        <w:suppressAutoHyphens w:val="0"/>
        <w:jc w:val="center"/>
        <w:rPr>
          <w:rFonts w:ascii="Arial" w:hAnsi="Arial" w:cs="Arial"/>
          <w:szCs w:val="24"/>
        </w:rPr>
      </w:pPr>
    </w:p>
    <w:p w:rsidR="00B67CAE" w:rsidRPr="00B67CAE" w:rsidRDefault="00B67CAE" w:rsidP="00D63F78">
      <w:pPr>
        <w:pStyle w:val="RightPar2"/>
        <w:numPr>
          <w:ilvl w:val="12"/>
          <w:numId w:val="0"/>
        </w:numPr>
        <w:tabs>
          <w:tab w:val="clear" w:pos="-720"/>
          <w:tab w:val="clear" w:pos="0"/>
          <w:tab w:val="clear" w:pos="720"/>
          <w:tab w:val="clear" w:pos="1440"/>
        </w:tabs>
        <w:suppressAutoHyphens w:val="0"/>
        <w:jc w:val="center"/>
        <w:rPr>
          <w:rFonts w:ascii="Arial" w:hAnsi="Arial" w:cs="Arial"/>
          <w:b/>
          <w:szCs w:val="24"/>
        </w:rPr>
      </w:pPr>
      <w:r w:rsidRPr="00B67CAE">
        <w:rPr>
          <w:rFonts w:ascii="Arial" w:hAnsi="Arial" w:cs="Arial"/>
          <w:b/>
          <w:szCs w:val="24"/>
        </w:rPr>
        <w:t>PDA EXECUTIVE SESSION POLICY</w:t>
      </w:r>
    </w:p>
    <w:p w:rsidR="00B67CAE" w:rsidRDefault="00B67CAE" w:rsidP="00D63F78">
      <w:pPr>
        <w:pStyle w:val="RightPar2"/>
        <w:numPr>
          <w:ilvl w:val="12"/>
          <w:numId w:val="0"/>
        </w:numPr>
        <w:tabs>
          <w:tab w:val="clear" w:pos="-720"/>
          <w:tab w:val="clear" w:pos="0"/>
          <w:tab w:val="clear" w:pos="720"/>
          <w:tab w:val="clear" w:pos="1440"/>
        </w:tabs>
        <w:suppressAutoHyphens w:val="0"/>
        <w:jc w:val="center"/>
        <w:rPr>
          <w:rFonts w:ascii="Arial" w:hAnsi="Arial" w:cs="Arial"/>
          <w:szCs w:val="24"/>
        </w:rPr>
      </w:pPr>
    </w:p>
    <w:p w:rsidR="00B67CAE" w:rsidRPr="000240A4" w:rsidRDefault="008C5B65" w:rsidP="00B67CAE">
      <w:pPr>
        <w:pStyle w:val="RightPar2"/>
        <w:numPr>
          <w:ilvl w:val="12"/>
          <w:numId w:val="0"/>
        </w:numPr>
        <w:tabs>
          <w:tab w:val="clear" w:pos="-720"/>
          <w:tab w:val="clear" w:pos="0"/>
          <w:tab w:val="clear" w:pos="720"/>
          <w:tab w:val="clear" w:pos="1440"/>
        </w:tabs>
        <w:suppressAutoHyphens w:val="0"/>
        <w:ind w:left="1440" w:hanging="1440"/>
        <w:rPr>
          <w:rFonts w:ascii="Arial" w:hAnsi="Arial" w:cs="Arial"/>
          <w:szCs w:val="24"/>
          <w:u w:val="single"/>
        </w:rPr>
      </w:pPr>
      <w:r w:rsidRPr="008C5B65">
        <w:rPr>
          <w:rFonts w:ascii="Arial" w:hAnsi="Arial" w:cs="Arial"/>
          <w:szCs w:val="24"/>
        </w:rPr>
        <w:t>04/19BT42</w:t>
      </w:r>
      <w:r w:rsidR="00A77A88">
        <w:rPr>
          <w:rFonts w:ascii="Arial" w:hAnsi="Arial" w:cs="Arial"/>
          <w:szCs w:val="24"/>
        </w:rPr>
        <w:t>:</w:t>
      </w:r>
      <w:r w:rsidR="00B67CAE">
        <w:rPr>
          <w:rFonts w:ascii="Arial" w:hAnsi="Arial" w:cs="Arial"/>
          <w:szCs w:val="24"/>
        </w:rPr>
        <w:tab/>
        <w:t>That the PDA Executive Session Policy and Procedures be approved as presented.</w:t>
      </w:r>
      <w:r w:rsidR="00054E64">
        <w:rPr>
          <w:rFonts w:ascii="Arial" w:hAnsi="Arial" w:cs="Arial"/>
          <w:szCs w:val="24"/>
        </w:rPr>
        <w:t xml:space="preserve">  </w:t>
      </w:r>
      <w:r w:rsidR="00054E64" w:rsidRPr="00137A59">
        <w:rPr>
          <w:rFonts w:ascii="Arial" w:hAnsi="Arial" w:cs="Arial"/>
          <w:b/>
          <w:sz w:val="18"/>
          <w:szCs w:val="18"/>
          <w:u w:val="single"/>
        </w:rPr>
        <w:t>(Appendix A)</w:t>
      </w:r>
    </w:p>
    <w:p w:rsidR="00B67CAE" w:rsidRDefault="00B67CAE" w:rsidP="00137A59">
      <w:pPr>
        <w:pStyle w:val="RightPar2"/>
        <w:numPr>
          <w:ilvl w:val="12"/>
          <w:numId w:val="0"/>
        </w:numPr>
        <w:tabs>
          <w:tab w:val="clear" w:pos="-720"/>
          <w:tab w:val="clear" w:pos="0"/>
          <w:tab w:val="clear" w:pos="720"/>
          <w:tab w:val="clear" w:pos="1440"/>
        </w:tabs>
        <w:suppressAutoHyphens w:val="0"/>
        <w:rPr>
          <w:rFonts w:ascii="Arial" w:hAnsi="Arial" w:cs="Arial"/>
          <w:szCs w:val="24"/>
        </w:rPr>
      </w:pPr>
    </w:p>
    <w:p w:rsidR="000D6513" w:rsidRPr="00ED20BC" w:rsidRDefault="000D6513" w:rsidP="00137A59">
      <w:pPr>
        <w:tabs>
          <w:tab w:val="left" w:pos="-1440"/>
          <w:tab w:val="left" w:pos="-720"/>
          <w:tab w:val="left" w:pos="1591"/>
          <w:tab w:val="left" w:pos="2160"/>
          <w:tab w:val="left" w:pos="2736"/>
        </w:tabs>
        <w:suppressAutoHyphens/>
        <w:jc w:val="center"/>
        <w:rPr>
          <w:spacing w:val="-3"/>
        </w:rPr>
      </w:pPr>
    </w:p>
    <w:p w:rsidR="007E2F80" w:rsidRPr="00FF3B38" w:rsidRDefault="007E2F80" w:rsidP="00300F91">
      <w:pPr>
        <w:tabs>
          <w:tab w:val="center" w:pos="4680"/>
        </w:tabs>
        <w:suppressAutoHyphens/>
        <w:jc w:val="center"/>
        <w:rPr>
          <w:b/>
          <w:spacing w:val="-3"/>
        </w:rPr>
      </w:pPr>
      <w:r w:rsidRPr="00FF3B38">
        <w:rPr>
          <w:b/>
        </w:rPr>
        <w:t>BEQUESTS TO PDA</w:t>
      </w:r>
    </w:p>
    <w:p w:rsidR="006D0317" w:rsidRPr="00ED20BC" w:rsidRDefault="006D0317" w:rsidP="00A9702E">
      <w:pPr>
        <w:tabs>
          <w:tab w:val="left" w:pos="-1008"/>
          <w:tab w:val="left" w:pos="432"/>
          <w:tab w:val="left" w:pos="1152"/>
          <w:tab w:val="left" w:pos="2160"/>
          <w:tab w:val="left" w:pos="2592"/>
          <w:tab w:val="left" w:pos="3312"/>
          <w:tab w:val="left" w:pos="4032"/>
          <w:tab w:val="left" w:pos="5472"/>
          <w:tab w:val="left" w:pos="6912"/>
        </w:tabs>
        <w:suppressAutoHyphens/>
        <w:ind w:left="1440" w:hanging="1440"/>
        <w:jc w:val="center"/>
        <w:rPr>
          <w:spacing w:val="-3"/>
        </w:rPr>
      </w:pPr>
    </w:p>
    <w:p w:rsidR="00A9702E" w:rsidRPr="00ED20BC" w:rsidRDefault="00AF2177" w:rsidP="00137A59">
      <w:pPr>
        <w:pStyle w:val="BodyText2"/>
        <w:ind w:left="1440" w:hanging="1440"/>
        <w:rPr>
          <w:caps/>
        </w:rPr>
      </w:pPr>
      <w:r w:rsidRPr="00ED20BC">
        <w:rPr>
          <w:caps/>
        </w:rPr>
        <w:t>11/00BT34:</w:t>
      </w:r>
      <w:r w:rsidRPr="00ED20BC">
        <w:rPr>
          <w:caps/>
        </w:rPr>
        <w:tab/>
      </w:r>
      <w:r w:rsidR="00A9702E" w:rsidRPr="00ED20BC">
        <w:rPr>
          <w:szCs w:val="24"/>
        </w:rPr>
        <w:t>That the PDA Board of Trustees adopt a policy of</w:t>
      </w:r>
      <w:r w:rsidR="002E11C6">
        <w:rPr>
          <w:szCs w:val="24"/>
        </w:rPr>
        <w:t xml:space="preserve"> soliciting for and accepting </w:t>
      </w:r>
      <w:r w:rsidR="00A9702E" w:rsidRPr="00ED20BC">
        <w:rPr>
          <w:szCs w:val="24"/>
        </w:rPr>
        <w:t xml:space="preserve">bequests to the PDA with appropriate recognition for the donor. </w:t>
      </w:r>
    </w:p>
    <w:p w:rsidR="00674DC7" w:rsidRPr="00ED20BC" w:rsidRDefault="00674DC7" w:rsidP="00137A59">
      <w:pPr>
        <w:tabs>
          <w:tab w:val="center" w:pos="4680"/>
        </w:tabs>
        <w:suppressAutoHyphens/>
        <w:ind w:left="1440" w:hanging="1440"/>
      </w:pPr>
    </w:p>
    <w:p w:rsidR="00167876" w:rsidRDefault="00167876" w:rsidP="00F80C21">
      <w:pPr>
        <w:tabs>
          <w:tab w:val="left" w:pos="1440"/>
        </w:tabs>
        <w:suppressAutoHyphens/>
        <w:jc w:val="center"/>
      </w:pPr>
      <w:bookmarkStart w:id="0" w:name="_GoBack"/>
      <w:bookmarkEnd w:id="0"/>
    </w:p>
    <w:p w:rsidR="00167876" w:rsidRDefault="00167876" w:rsidP="00F80C21">
      <w:pPr>
        <w:tabs>
          <w:tab w:val="left" w:pos="1440"/>
        </w:tabs>
        <w:suppressAutoHyphens/>
        <w:jc w:val="center"/>
      </w:pPr>
    </w:p>
    <w:p w:rsidR="00167876" w:rsidRDefault="00167876" w:rsidP="00F80C21">
      <w:pPr>
        <w:tabs>
          <w:tab w:val="left" w:pos="1440"/>
        </w:tabs>
        <w:suppressAutoHyphens/>
        <w:jc w:val="center"/>
      </w:pPr>
    </w:p>
    <w:p w:rsidR="00EC7831" w:rsidRDefault="00EC7831">
      <w:r>
        <w:br w:type="page"/>
      </w:r>
    </w:p>
    <w:p w:rsidR="00EC7831" w:rsidRPr="005609A6" w:rsidRDefault="00EC7831" w:rsidP="00EC7831">
      <w:pPr>
        <w:jc w:val="center"/>
        <w:rPr>
          <w:sz w:val="40"/>
          <w:szCs w:val="40"/>
          <w:u w:val="single"/>
        </w:rPr>
      </w:pPr>
      <w:r>
        <w:rPr>
          <w:sz w:val="40"/>
          <w:szCs w:val="40"/>
          <w:u w:val="single"/>
        </w:rPr>
        <w:lastRenderedPageBreak/>
        <w:t>Appendix A</w:t>
      </w:r>
    </w:p>
    <w:p w:rsidR="00EC7831" w:rsidRPr="008B270A" w:rsidRDefault="00EC7831" w:rsidP="002813F0">
      <w:pPr>
        <w:spacing w:before="160"/>
        <w:jc w:val="center"/>
        <w:rPr>
          <w:b/>
        </w:rPr>
      </w:pPr>
      <w:r w:rsidRPr="008B270A">
        <w:rPr>
          <w:b/>
        </w:rPr>
        <w:t>EXECUTIVE SESSION</w:t>
      </w:r>
    </w:p>
    <w:p w:rsidR="00EC7831" w:rsidRDefault="00EC7831" w:rsidP="00EC7831">
      <w:pPr>
        <w:jc w:val="center"/>
      </w:pPr>
      <w:r w:rsidRPr="008B270A">
        <w:rPr>
          <w:b/>
        </w:rPr>
        <w:t>POLICY AND PROCEDURES</w:t>
      </w:r>
    </w:p>
    <w:p w:rsidR="00EC7831" w:rsidRDefault="00EC7831" w:rsidP="00EC7831">
      <w:pPr>
        <w:jc w:val="center"/>
      </w:pPr>
      <w:r>
        <w:t>PENNSYLVANIA DENTAL ASSOCIATION</w:t>
      </w:r>
    </w:p>
    <w:p w:rsidR="00EC7831" w:rsidRDefault="00EC7831" w:rsidP="00EC7831">
      <w:pPr>
        <w:jc w:val="center"/>
      </w:pPr>
      <w:r>
        <w:t>(Approved 04/16BT59)</w:t>
      </w:r>
    </w:p>
    <w:p w:rsidR="008C5B65" w:rsidRPr="00E74588" w:rsidRDefault="008C5B65" w:rsidP="008C5B65">
      <w:pPr>
        <w:jc w:val="center"/>
        <w:rPr>
          <w:rFonts w:cs="Arial"/>
          <w:sz w:val="22"/>
          <w:szCs w:val="22"/>
        </w:rPr>
      </w:pPr>
      <w:r>
        <w:rPr>
          <w:rFonts w:cs="Arial"/>
          <w:sz w:val="22"/>
          <w:szCs w:val="22"/>
        </w:rPr>
        <w:t>(Amended 04/</w:t>
      </w:r>
      <w:r w:rsidRPr="001E5BE4">
        <w:rPr>
          <w:rFonts w:cs="Arial"/>
          <w:sz w:val="22"/>
          <w:szCs w:val="22"/>
        </w:rPr>
        <w:t>19BT42)</w:t>
      </w:r>
    </w:p>
    <w:p w:rsidR="008C5B65" w:rsidRPr="00A16AB0" w:rsidRDefault="008C5B65" w:rsidP="008C5B65">
      <w:pPr>
        <w:rPr>
          <w:rFonts w:cs="Arial"/>
          <w:sz w:val="23"/>
          <w:szCs w:val="23"/>
        </w:rPr>
      </w:pPr>
    </w:p>
    <w:p w:rsidR="008C5B65" w:rsidRPr="00A16AB0" w:rsidRDefault="008C5B65" w:rsidP="008C5B65">
      <w:pPr>
        <w:rPr>
          <w:sz w:val="23"/>
          <w:szCs w:val="23"/>
        </w:rPr>
      </w:pPr>
      <w:r w:rsidRPr="00A16AB0">
        <w:rPr>
          <w:sz w:val="23"/>
          <w:szCs w:val="23"/>
        </w:rPr>
        <w:t>The Pennsylvania Dental Association (“PDA”) Board of Trustees and Officers recognize the importance of keeping membership informed as to the status of the PDA and further maintaining transparency to the fullest extent possible to maintain the trust of the membership in the actions and directions guided by the Board of Trustees and Officers. However, it is also readily recognized that for the benefit of the PDA, the Board of Trustees and Officers need the opportunity at certain appropriate times to conduct Executive Sessions in which they can have free and open discussion of particular issues that require confidentiality, or that due to their sensitive nature, the dissemination of information outside of the Board of Trustees and Officers could be harmful to the PDA. Examples of items that would best be examined during an Executive Session include, but are not limited to, litigation matters; personnel discussions, compensation decisions and/or major items dealing with the future purpose and direction of the PDA</w:t>
      </w:r>
      <w:r w:rsidRPr="00A16AB0">
        <w:rPr>
          <w:sz w:val="23"/>
          <w:szCs w:val="23"/>
        </w:rPr>
        <w:softHyphen/>
      </w:r>
    </w:p>
    <w:p w:rsidR="008C5B65" w:rsidRPr="00A16AB0" w:rsidRDefault="008C5B65" w:rsidP="008C5B65">
      <w:pPr>
        <w:rPr>
          <w:sz w:val="23"/>
          <w:szCs w:val="23"/>
        </w:rPr>
      </w:pPr>
    </w:p>
    <w:p w:rsidR="008C5B65" w:rsidRPr="00A16AB0" w:rsidRDefault="008C5B65" w:rsidP="008C5B65">
      <w:pPr>
        <w:rPr>
          <w:sz w:val="23"/>
          <w:szCs w:val="23"/>
        </w:rPr>
      </w:pPr>
      <w:r w:rsidRPr="00A16AB0">
        <w:rPr>
          <w:sz w:val="23"/>
          <w:szCs w:val="23"/>
        </w:rPr>
        <w:t xml:space="preserve">Historically, the Board of Trustees has held in-person Executive Sessions to address such matters. However, there have never been any formal policies or procedures governing the calling or conducting of such sessions. </w:t>
      </w:r>
    </w:p>
    <w:p w:rsidR="008C5B65" w:rsidRPr="00A16AB0" w:rsidRDefault="008C5B65" w:rsidP="008C5B65">
      <w:pPr>
        <w:rPr>
          <w:sz w:val="23"/>
          <w:szCs w:val="23"/>
        </w:rPr>
      </w:pPr>
    </w:p>
    <w:p w:rsidR="008C5B65" w:rsidRPr="00A16AB0" w:rsidRDefault="008C5B65" w:rsidP="008C5B65">
      <w:pPr>
        <w:rPr>
          <w:sz w:val="23"/>
          <w:szCs w:val="23"/>
        </w:rPr>
      </w:pPr>
      <w:r w:rsidRPr="00A16AB0">
        <w:rPr>
          <w:sz w:val="23"/>
          <w:szCs w:val="23"/>
        </w:rPr>
        <w:t>This policy has been adopted to govern the Board of Trustees and Officers in holding Executive Sessions. In considering the need for an Executive Session, two main principles should be considered. First, in order to be effective, an Executive Session must allow open and frank communication. Second, to foster such an open and frank discussion and protect the best interests of the PDA, the discussions and deliberations must be maintained in the strictest confidence.</w:t>
      </w:r>
    </w:p>
    <w:p w:rsidR="008C5B65" w:rsidRPr="00A16AB0" w:rsidRDefault="008C5B65" w:rsidP="008C5B65">
      <w:pPr>
        <w:rPr>
          <w:sz w:val="23"/>
          <w:szCs w:val="23"/>
        </w:rPr>
      </w:pPr>
    </w:p>
    <w:p w:rsidR="008C5B65" w:rsidRPr="00A16AB0" w:rsidRDefault="008C5B65" w:rsidP="008C5B65">
      <w:pPr>
        <w:spacing w:after="80"/>
        <w:rPr>
          <w:sz w:val="23"/>
          <w:szCs w:val="23"/>
        </w:rPr>
      </w:pPr>
      <w:r w:rsidRPr="00A16AB0">
        <w:rPr>
          <w:sz w:val="23"/>
          <w:szCs w:val="23"/>
        </w:rPr>
        <w:t>1.</w:t>
      </w:r>
      <w:r w:rsidRPr="00A16AB0">
        <w:rPr>
          <w:sz w:val="23"/>
          <w:szCs w:val="23"/>
        </w:rPr>
        <w:tab/>
        <w:t>CALLING OF AN EXECUTIVE SESSION</w:t>
      </w:r>
    </w:p>
    <w:p w:rsidR="008C5B65" w:rsidRPr="00A16AB0" w:rsidRDefault="008C5B65" w:rsidP="008C5B65">
      <w:pPr>
        <w:rPr>
          <w:sz w:val="23"/>
          <w:szCs w:val="23"/>
        </w:rPr>
      </w:pPr>
      <w:r w:rsidRPr="00A16AB0">
        <w:rPr>
          <w:sz w:val="23"/>
          <w:szCs w:val="23"/>
        </w:rPr>
        <w:t xml:space="preserve">Absent a request made at, or in anticipation of, a regular meeting of the Board of Trustees, an Executive Session can be called consistent with the PDA Bylaws regarding special meetings. </w:t>
      </w:r>
    </w:p>
    <w:p w:rsidR="008C5B65" w:rsidRPr="00A16AB0" w:rsidRDefault="008C5B65" w:rsidP="008C5B65">
      <w:pPr>
        <w:rPr>
          <w:sz w:val="23"/>
          <w:szCs w:val="23"/>
        </w:rPr>
      </w:pPr>
    </w:p>
    <w:p w:rsidR="008C5B65" w:rsidRPr="00A16AB0" w:rsidRDefault="008C5B65" w:rsidP="008C5B65">
      <w:pPr>
        <w:spacing w:after="80"/>
        <w:rPr>
          <w:sz w:val="23"/>
          <w:szCs w:val="23"/>
        </w:rPr>
      </w:pPr>
      <w:r w:rsidRPr="00A16AB0">
        <w:rPr>
          <w:sz w:val="23"/>
          <w:szCs w:val="23"/>
        </w:rPr>
        <w:t>2.</w:t>
      </w:r>
      <w:r w:rsidRPr="00A16AB0">
        <w:rPr>
          <w:sz w:val="23"/>
          <w:szCs w:val="23"/>
        </w:rPr>
        <w:tab/>
        <w:t>ATTENDEES DURING AN EXECUTIVE SESSION</w:t>
      </w:r>
    </w:p>
    <w:p w:rsidR="008C5B65" w:rsidRPr="00A16AB0" w:rsidRDefault="008C5B65" w:rsidP="008C5B65">
      <w:pPr>
        <w:rPr>
          <w:sz w:val="23"/>
          <w:szCs w:val="23"/>
        </w:rPr>
      </w:pPr>
      <w:r w:rsidRPr="00A16AB0">
        <w:rPr>
          <w:sz w:val="23"/>
          <w:szCs w:val="23"/>
        </w:rPr>
        <w:t>The normal attendees for an Executive Session shall consist of only the Officers and Trustees of the PDA. Other individuals can be invited to participate as long as they hold some special knowledge or expertise that will facilitate the Executive Session and further they agree to adhere to the policy and procedures set forth herein specifically including maintaining the confidentiality of all matters discussed or information disclosed during the session.</w:t>
      </w:r>
    </w:p>
    <w:p w:rsidR="008C5B65" w:rsidRPr="00A16AB0" w:rsidRDefault="008C5B65" w:rsidP="008C5B65">
      <w:pPr>
        <w:rPr>
          <w:sz w:val="23"/>
          <w:szCs w:val="23"/>
        </w:rPr>
      </w:pPr>
    </w:p>
    <w:p w:rsidR="008C5B65" w:rsidRPr="00A16AB0" w:rsidRDefault="008C5B65" w:rsidP="008C5B65">
      <w:pPr>
        <w:spacing w:after="80"/>
        <w:rPr>
          <w:sz w:val="23"/>
          <w:szCs w:val="23"/>
        </w:rPr>
      </w:pPr>
      <w:r w:rsidRPr="00A16AB0">
        <w:rPr>
          <w:sz w:val="23"/>
          <w:szCs w:val="23"/>
        </w:rPr>
        <w:t>3.</w:t>
      </w:r>
      <w:r w:rsidRPr="00A16AB0">
        <w:rPr>
          <w:sz w:val="23"/>
          <w:szCs w:val="23"/>
        </w:rPr>
        <w:tab/>
        <w:t>FORUM FOR AN EXECUTIVE SESSION</w:t>
      </w:r>
    </w:p>
    <w:p w:rsidR="008C5B65" w:rsidRPr="00A16AB0" w:rsidRDefault="008C5B65" w:rsidP="008C5B65">
      <w:pPr>
        <w:rPr>
          <w:sz w:val="23"/>
          <w:szCs w:val="23"/>
        </w:rPr>
      </w:pPr>
      <w:r w:rsidRPr="00A16AB0">
        <w:rPr>
          <w:sz w:val="23"/>
          <w:szCs w:val="23"/>
        </w:rPr>
        <w:t xml:space="preserve">Given the sensitivity of the matters discussed during an Executive Session and the need for efficient effective communication, if timing of the issue presented does not require more immediate attention, all Executive Sessions shall be held in person in conjunction with a regularly-scheduled Board of Trustee meeting. </w:t>
      </w:r>
    </w:p>
    <w:p w:rsidR="008C5B65" w:rsidRPr="00A16AB0" w:rsidRDefault="008C5B65" w:rsidP="008C5B65">
      <w:pPr>
        <w:rPr>
          <w:sz w:val="23"/>
          <w:szCs w:val="23"/>
        </w:rPr>
      </w:pPr>
    </w:p>
    <w:p w:rsidR="008C5B65" w:rsidRPr="00A16AB0" w:rsidRDefault="008C5B65" w:rsidP="008C5B65">
      <w:pPr>
        <w:rPr>
          <w:sz w:val="23"/>
          <w:szCs w:val="23"/>
        </w:rPr>
      </w:pPr>
      <w:r w:rsidRPr="00A16AB0">
        <w:rPr>
          <w:sz w:val="23"/>
          <w:szCs w:val="23"/>
        </w:rPr>
        <w:t xml:space="preserve">If timing will not allow holding the Executive Session at the next regularly-scheduled Board of Trustees meeting, an Executive Session may be conducted telephonically. </w:t>
      </w:r>
    </w:p>
    <w:p w:rsidR="008C5B65" w:rsidRPr="00A16AB0" w:rsidRDefault="008C5B65" w:rsidP="008C5B65">
      <w:pPr>
        <w:rPr>
          <w:sz w:val="23"/>
          <w:szCs w:val="23"/>
        </w:rPr>
      </w:pPr>
    </w:p>
    <w:p w:rsidR="008C5B65" w:rsidRPr="00A16AB0" w:rsidRDefault="008C5B65" w:rsidP="008C5B65">
      <w:pPr>
        <w:spacing w:after="80"/>
        <w:rPr>
          <w:sz w:val="23"/>
          <w:szCs w:val="23"/>
        </w:rPr>
      </w:pPr>
      <w:r w:rsidRPr="00A16AB0">
        <w:rPr>
          <w:sz w:val="23"/>
          <w:szCs w:val="23"/>
        </w:rPr>
        <w:t>4.</w:t>
      </w:r>
      <w:r w:rsidRPr="00A16AB0">
        <w:rPr>
          <w:sz w:val="23"/>
          <w:szCs w:val="23"/>
        </w:rPr>
        <w:tab/>
        <w:t>MEETING PROCEDURES</w:t>
      </w:r>
    </w:p>
    <w:p w:rsidR="008C5B65" w:rsidRDefault="008C5B65" w:rsidP="008C5B65">
      <w:pPr>
        <w:pStyle w:val="ListParagraph"/>
        <w:numPr>
          <w:ilvl w:val="0"/>
          <w:numId w:val="1"/>
        </w:numPr>
        <w:spacing w:after="240" w:line="242" w:lineRule="auto"/>
        <w:jc w:val="both"/>
      </w:pPr>
      <w:r>
        <w:t>There shall be no electronic recording made of any of the discussions or deliberations during an Executive Session.</w:t>
      </w:r>
    </w:p>
    <w:p w:rsidR="008C5B65" w:rsidRDefault="008C5B65" w:rsidP="008C5B65">
      <w:pPr>
        <w:pStyle w:val="ListParagraph"/>
        <w:numPr>
          <w:ilvl w:val="0"/>
          <w:numId w:val="1"/>
        </w:numPr>
        <w:spacing w:after="240" w:line="242" w:lineRule="auto"/>
        <w:jc w:val="both"/>
      </w:pPr>
      <w:r>
        <w:t>Any materials disseminated during an in-person Executive Session shall be given to the President prior to the ending of the Executive Session for his or her disposal by either destruction or providing the same in a sealed envelope to legal counsel for the PDA.</w:t>
      </w:r>
    </w:p>
    <w:p w:rsidR="008C5B65" w:rsidRDefault="008C5B65" w:rsidP="008C5B65">
      <w:pPr>
        <w:pStyle w:val="ListParagraph"/>
        <w:numPr>
          <w:ilvl w:val="0"/>
          <w:numId w:val="1"/>
        </w:numPr>
        <w:spacing w:after="240" w:line="242" w:lineRule="auto"/>
        <w:jc w:val="both"/>
      </w:pPr>
      <w:r>
        <w:t>If materials were disseminated in anticipation of a telephonic Executive Session, each participant shall destroy all such material (and any copies) immediately after the Executive Session.</w:t>
      </w:r>
    </w:p>
    <w:p w:rsidR="008C5B65" w:rsidRDefault="008C5B65" w:rsidP="008C5B65">
      <w:pPr>
        <w:pStyle w:val="ListParagraph"/>
        <w:numPr>
          <w:ilvl w:val="0"/>
          <w:numId w:val="1"/>
        </w:numPr>
        <w:spacing w:after="240" w:line="242" w:lineRule="auto"/>
        <w:jc w:val="both"/>
      </w:pPr>
      <w:r>
        <w:t>Unless directed by the President, there shall not be any specific minutes taken of an Executive Session. If the President does direct the taking of minutes, they shall be taken by the secretary of the Board, or in his or her absence, by a Trustee designated by the President. Prior to adjourning the Executive Session, the individual taking the minutes shall disseminate a draft of the same to the rest of the participants of the Session for their immediate review and approval. Upon receiving approval of the minutes by a majority of the Board of Trustees, the individual taking the minutes shall place them in a sealed envelope and write on its exterior “Minutes of Executive Session Conducted on _________.” The envelope shall be forwarded to legal counsel for the PDA.</w:t>
      </w:r>
    </w:p>
    <w:p w:rsidR="008C5B65" w:rsidRDefault="008C5B65" w:rsidP="008C5B65">
      <w:pPr>
        <w:pStyle w:val="ListParagraph"/>
        <w:numPr>
          <w:ilvl w:val="0"/>
          <w:numId w:val="1"/>
        </w:numPr>
        <w:spacing w:after="240" w:line="242" w:lineRule="auto"/>
        <w:jc w:val="both"/>
      </w:pPr>
      <w:r>
        <w:t>In the event the Board of Trustees elects to take any formal action during the Executive Session, the action taken shall be reported during the reconvening of the regular or special Board of Trustees meeting, as the case may be.</w:t>
      </w:r>
    </w:p>
    <w:p w:rsidR="008C5B65" w:rsidRDefault="008C5B65" w:rsidP="008C5B65">
      <w:pPr>
        <w:pStyle w:val="ListParagraph"/>
        <w:numPr>
          <w:ilvl w:val="0"/>
          <w:numId w:val="1"/>
        </w:numPr>
        <w:spacing w:after="240" w:line="242" w:lineRule="auto"/>
        <w:jc w:val="both"/>
      </w:pPr>
      <w:r>
        <w:t>Each participant to an Executive Session agrees to maintain in the strictest confidence all communications, discussions and materials reviewed during any Executive Session. This provision requires that every participant in an Executive Session is precluded from reporting/conveying or summarizing to any other individual the nature or content of any communications, discussions or materials reviewed during the Executive Session. This provision is intended to be as broad as possible so as to completely eliminate any participant’s disclosure of any information pertaining to the communications that occurred during the Executive Session. The only exceptions to this complete bar to any disclosure, is if such disclosure is mandated pursuant to an Order of Court having jurisdiction over such disclosure or the disclosure is to inform an individual entitled to participate in the Executive Session but did not do so (such absent participant shall not further disclose the information provided to them). Should any participant receive a request to disclose information related to an Executive Session, the participant shall tell the requestor of such information they are prohibited from making any such disclosure and the participant shall immediately notify legal counsel of the PDA of the request.</w:t>
      </w:r>
    </w:p>
    <w:p w:rsidR="008C5B65" w:rsidRPr="00A16AB0" w:rsidRDefault="008C5B65" w:rsidP="008C5B65">
      <w:pPr>
        <w:spacing w:after="80"/>
        <w:rPr>
          <w:sz w:val="23"/>
          <w:szCs w:val="23"/>
        </w:rPr>
      </w:pPr>
      <w:r w:rsidRPr="00A16AB0">
        <w:rPr>
          <w:sz w:val="23"/>
          <w:szCs w:val="23"/>
        </w:rPr>
        <w:t>5.</w:t>
      </w:r>
      <w:r w:rsidRPr="00A16AB0">
        <w:rPr>
          <w:sz w:val="23"/>
          <w:szCs w:val="23"/>
        </w:rPr>
        <w:tab/>
        <w:t>PENALTIES</w:t>
      </w:r>
    </w:p>
    <w:p w:rsidR="008C5B65" w:rsidRPr="00A16AB0" w:rsidRDefault="008C5B65" w:rsidP="008C5B65">
      <w:pPr>
        <w:rPr>
          <w:sz w:val="23"/>
          <w:szCs w:val="23"/>
        </w:rPr>
      </w:pPr>
      <w:r w:rsidRPr="00A16AB0">
        <w:rPr>
          <w:sz w:val="23"/>
          <w:szCs w:val="23"/>
        </w:rPr>
        <w:t xml:space="preserve">Any violation of the above enumerated procedures set forth in Section 4 shall constitute a violation of a policy adopted by the PDA, as set forth in the PDA Bylaws governing disciplinary </w:t>
      </w:r>
      <w:r w:rsidRPr="00A16AB0">
        <w:rPr>
          <w:sz w:val="23"/>
          <w:szCs w:val="23"/>
        </w:rPr>
        <w:lastRenderedPageBreak/>
        <w:t>procedures. Upon a determination by a preponderance of the evidence by a majority of the Disciplinary Review Board that such a violation did, in fact, occur, the individual committing the violation shall be immediately expelled from their position. Any individual so expelled shall be afforded the rights of appeal set forth in the Section 12.4 of the PDA Bylaws.</w:t>
      </w:r>
    </w:p>
    <w:p w:rsidR="008C5B65" w:rsidRPr="00A16AB0" w:rsidRDefault="008C5B65" w:rsidP="008C5B65">
      <w:pPr>
        <w:rPr>
          <w:sz w:val="23"/>
          <w:szCs w:val="23"/>
        </w:rPr>
      </w:pPr>
    </w:p>
    <w:p w:rsidR="008C5B65" w:rsidRPr="00A16AB0" w:rsidRDefault="008C5B65" w:rsidP="008C5B65">
      <w:pPr>
        <w:spacing w:after="80"/>
        <w:rPr>
          <w:sz w:val="23"/>
          <w:szCs w:val="23"/>
        </w:rPr>
      </w:pPr>
      <w:r w:rsidRPr="00A16AB0">
        <w:rPr>
          <w:sz w:val="23"/>
          <w:szCs w:val="23"/>
        </w:rPr>
        <w:t>6.</w:t>
      </w:r>
      <w:r w:rsidRPr="00A16AB0">
        <w:rPr>
          <w:sz w:val="23"/>
          <w:szCs w:val="23"/>
        </w:rPr>
        <w:tab/>
        <w:t>REVIEW AND ACKNOWLEDGEMENT</w:t>
      </w:r>
    </w:p>
    <w:p w:rsidR="008C5B65" w:rsidRPr="00A16AB0" w:rsidRDefault="008C5B65" w:rsidP="008C5B65">
      <w:pPr>
        <w:rPr>
          <w:sz w:val="23"/>
          <w:szCs w:val="23"/>
        </w:rPr>
      </w:pPr>
      <w:r w:rsidRPr="00A16AB0">
        <w:rPr>
          <w:sz w:val="23"/>
          <w:szCs w:val="23"/>
        </w:rPr>
        <w:t>Prior to participation in any Executive Session, every Trustee and Officer shall review this policy and execute an acknowledgement that they have, in fact, read the policy, understood its terms and content, and further agree to the disciplinary penalties upon a determination of a violation. The execution of the acknowledgement shall be sufficient to cover all Executive Sessions conducted during the individual’s tenure on the Board of Trustees or as an Officer.</w:t>
      </w:r>
    </w:p>
    <w:p w:rsidR="008C5B65" w:rsidRDefault="008C5B65" w:rsidP="008C5B65">
      <w:pPr>
        <w:rPr>
          <w:sz w:val="23"/>
          <w:szCs w:val="23"/>
        </w:rPr>
      </w:pPr>
    </w:p>
    <w:p w:rsidR="008C5B65" w:rsidRDefault="008C5B65">
      <w:pPr>
        <w:rPr>
          <w:sz w:val="23"/>
          <w:szCs w:val="23"/>
        </w:rPr>
      </w:pPr>
      <w:r>
        <w:rPr>
          <w:sz w:val="23"/>
          <w:szCs w:val="23"/>
        </w:rPr>
        <w:br w:type="page"/>
      </w:r>
    </w:p>
    <w:p w:rsidR="008C5B65" w:rsidRPr="00A16AB0" w:rsidRDefault="008C5B65" w:rsidP="008C5B65">
      <w:pPr>
        <w:rPr>
          <w:sz w:val="23"/>
          <w:szCs w:val="23"/>
        </w:rPr>
      </w:pPr>
    </w:p>
    <w:p w:rsidR="008C5B65" w:rsidRPr="008C5B65" w:rsidRDefault="008C5B65" w:rsidP="008C5B65">
      <w:pPr>
        <w:jc w:val="center"/>
        <w:rPr>
          <w:szCs w:val="24"/>
        </w:rPr>
      </w:pPr>
      <w:r w:rsidRPr="008C5B65">
        <w:rPr>
          <w:szCs w:val="24"/>
        </w:rPr>
        <w:t>ACKNOWLEDGEMENT</w:t>
      </w:r>
    </w:p>
    <w:p w:rsidR="008C5B65" w:rsidRPr="00A16AB0" w:rsidRDefault="008C5B65" w:rsidP="008C5B65">
      <w:pPr>
        <w:jc w:val="center"/>
        <w:rPr>
          <w:sz w:val="23"/>
          <w:szCs w:val="23"/>
        </w:rPr>
      </w:pPr>
    </w:p>
    <w:p w:rsidR="008C5B65" w:rsidRPr="00A16AB0" w:rsidRDefault="008C5B65" w:rsidP="008C5B65">
      <w:pPr>
        <w:ind w:left="720" w:right="630"/>
        <w:rPr>
          <w:sz w:val="23"/>
          <w:szCs w:val="23"/>
        </w:rPr>
      </w:pPr>
      <w:r w:rsidRPr="00A16AB0">
        <w:rPr>
          <w:sz w:val="23"/>
          <w:szCs w:val="23"/>
        </w:rPr>
        <w:t xml:space="preserve">I, ________________________, hereby acknowledge that I have thoroughly reviewed and understand the Executive Session Policy and Procedures of the Pennsylvania Dental Association (“Policy and Procedures”). My execution of this Acknowledgement evidences my voluntary decision to adhere to and follow the Policy and Procedures and further agree to my expulsion from my position in the event it is determined, as set forth in the Policy and Procedures, that I have committed a violation, whether knowingly or unknowingly, of the Policy and Procedures. </w:t>
      </w:r>
      <w:r w:rsidRPr="00A16AB0">
        <w:rPr>
          <w:sz w:val="23"/>
          <w:szCs w:val="23"/>
        </w:rPr>
        <w:softHyphen/>
      </w:r>
    </w:p>
    <w:p w:rsidR="008C5B65" w:rsidRDefault="008C5B65" w:rsidP="008C5B65">
      <w:pPr>
        <w:ind w:left="720" w:right="630"/>
        <w:rPr>
          <w:sz w:val="23"/>
          <w:szCs w:val="23"/>
        </w:rPr>
      </w:pPr>
    </w:p>
    <w:p w:rsidR="008C5B65" w:rsidRPr="00A16AB0" w:rsidRDefault="008C5B65" w:rsidP="008C5B65">
      <w:pPr>
        <w:ind w:left="720" w:right="630"/>
        <w:rPr>
          <w:sz w:val="23"/>
          <w:szCs w:val="23"/>
        </w:rPr>
      </w:pPr>
      <w:r w:rsidRPr="00A16AB0">
        <w:rPr>
          <w:sz w:val="23"/>
          <w:szCs w:val="23"/>
        </w:rPr>
        <w:t>This Acknowledgement shall continue in full force and effect as long as I serve as either a Trustee or Officer of the PDA.</w:t>
      </w:r>
    </w:p>
    <w:p w:rsidR="008C5B65" w:rsidRDefault="008C5B65" w:rsidP="008C5B65">
      <w:pPr>
        <w:ind w:left="720" w:right="630"/>
        <w:rPr>
          <w:sz w:val="23"/>
          <w:szCs w:val="23"/>
        </w:rPr>
      </w:pPr>
    </w:p>
    <w:p w:rsidR="008C5B65" w:rsidRPr="00A16AB0" w:rsidRDefault="008C5B65" w:rsidP="008C5B65">
      <w:pPr>
        <w:spacing w:line="360" w:lineRule="auto"/>
        <w:rPr>
          <w:color w:val="FFFFFF" w:themeColor="background1"/>
          <w:sz w:val="23"/>
          <w:szCs w:val="23"/>
          <w:highlight w:val="yellow"/>
        </w:rPr>
      </w:pPr>
    </w:p>
    <w:p w:rsidR="008C5B65" w:rsidRPr="00A16AB0" w:rsidRDefault="008C5B65" w:rsidP="008C5B65">
      <w:pPr>
        <w:rPr>
          <w:sz w:val="23"/>
          <w:szCs w:val="23"/>
        </w:rPr>
      </w:pPr>
      <w:r w:rsidRPr="00A16AB0">
        <w:rPr>
          <w:sz w:val="23"/>
          <w:szCs w:val="23"/>
          <w:u w:val="single"/>
        </w:rPr>
        <w:tab/>
      </w:r>
      <w:r w:rsidRPr="00A16AB0">
        <w:rPr>
          <w:sz w:val="23"/>
          <w:szCs w:val="23"/>
          <w:u w:val="single"/>
        </w:rPr>
        <w:tab/>
      </w:r>
      <w:r w:rsidRPr="00A16AB0">
        <w:rPr>
          <w:sz w:val="23"/>
          <w:szCs w:val="23"/>
          <w:u w:val="single"/>
        </w:rPr>
        <w:tab/>
      </w:r>
      <w:r w:rsidRPr="00A16AB0">
        <w:rPr>
          <w:sz w:val="23"/>
          <w:szCs w:val="23"/>
          <w:u w:val="single"/>
        </w:rPr>
        <w:tab/>
      </w:r>
      <w:r w:rsidRPr="00A16AB0">
        <w:rPr>
          <w:sz w:val="23"/>
          <w:szCs w:val="23"/>
          <w:u w:val="single"/>
        </w:rPr>
        <w:tab/>
      </w:r>
      <w:r w:rsidRPr="00A16AB0">
        <w:rPr>
          <w:sz w:val="23"/>
          <w:szCs w:val="23"/>
        </w:rPr>
        <w:tab/>
      </w:r>
      <w:r w:rsidRPr="00A16AB0">
        <w:rPr>
          <w:sz w:val="23"/>
          <w:szCs w:val="23"/>
        </w:rPr>
        <w:tab/>
      </w:r>
      <w:r w:rsidRPr="00A16AB0">
        <w:rPr>
          <w:sz w:val="23"/>
          <w:szCs w:val="23"/>
          <w:u w:val="single"/>
        </w:rPr>
        <w:tab/>
      </w:r>
      <w:r w:rsidRPr="00A16AB0">
        <w:rPr>
          <w:sz w:val="23"/>
          <w:szCs w:val="23"/>
          <w:u w:val="single"/>
        </w:rPr>
        <w:tab/>
      </w:r>
      <w:r w:rsidRPr="00A16AB0">
        <w:rPr>
          <w:sz w:val="23"/>
          <w:szCs w:val="23"/>
          <w:u w:val="single"/>
        </w:rPr>
        <w:tab/>
      </w:r>
      <w:r w:rsidRPr="00A16AB0">
        <w:rPr>
          <w:sz w:val="23"/>
          <w:szCs w:val="23"/>
          <w:u w:val="single"/>
        </w:rPr>
        <w:tab/>
      </w:r>
    </w:p>
    <w:p w:rsidR="008C5B65" w:rsidRPr="00A16AB0" w:rsidRDefault="008C5B65" w:rsidP="008C5B65">
      <w:pPr>
        <w:rPr>
          <w:sz w:val="23"/>
          <w:szCs w:val="23"/>
        </w:rPr>
      </w:pPr>
      <w:r w:rsidRPr="00A16AB0">
        <w:rPr>
          <w:sz w:val="23"/>
          <w:szCs w:val="23"/>
        </w:rPr>
        <w:t>Signature</w:t>
      </w:r>
      <w:r w:rsidRPr="00A16AB0">
        <w:rPr>
          <w:sz w:val="23"/>
          <w:szCs w:val="23"/>
        </w:rPr>
        <w:tab/>
      </w:r>
      <w:r w:rsidRPr="00A16AB0">
        <w:rPr>
          <w:sz w:val="23"/>
          <w:szCs w:val="23"/>
        </w:rPr>
        <w:tab/>
      </w:r>
      <w:r w:rsidRPr="00A16AB0">
        <w:rPr>
          <w:sz w:val="23"/>
          <w:szCs w:val="23"/>
        </w:rPr>
        <w:tab/>
      </w:r>
      <w:r w:rsidRPr="00A16AB0">
        <w:rPr>
          <w:sz w:val="23"/>
          <w:szCs w:val="23"/>
        </w:rPr>
        <w:tab/>
      </w:r>
      <w:r w:rsidRPr="00A16AB0">
        <w:rPr>
          <w:sz w:val="23"/>
          <w:szCs w:val="23"/>
        </w:rPr>
        <w:tab/>
      </w:r>
      <w:r w:rsidRPr="00A16AB0">
        <w:rPr>
          <w:sz w:val="23"/>
          <w:szCs w:val="23"/>
        </w:rPr>
        <w:tab/>
        <w:t>Date</w:t>
      </w:r>
    </w:p>
    <w:p w:rsidR="008C5B65" w:rsidRPr="00A16AB0" w:rsidRDefault="008C5B65" w:rsidP="008C5B65">
      <w:pPr>
        <w:rPr>
          <w:sz w:val="23"/>
          <w:szCs w:val="23"/>
        </w:rPr>
      </w:pPr>
    </w:p>
    <w:p w:rsidR="008C5B65" w:rsidRPr="00A16AB0" w:rsidRDefault="008C5B65" w:rsidP="008C5B65">
      <w:pPr>
        <w:rPr>
          <w:sz w:val="23"/>
          <w:szCs w:val="23"/>
        </w:rPr>
      </w:pPr>
    </w:p>
    <w:p w:rsidR="008C5B65" w:rsidRPr="00A16AB0" w:rsidRDefault="008C5B65" w:rsidP="008C5B65">
      <w:pPr>
        <w:rPr>
          <w:sz w:val="23"/>
          <w:szCs w:val="23"/>
        </w:rPr>
      </w:pPr>
    </w:p>
    <w:p w:rsidR="008C5B65" w:rsidRPr="00A16AB0" w:rsidRDefault="008C5B65" w:rsidP="008C5B65">
      <w:pPr>
        <w:rPr>
          <w:sz w:val="23"/>
          <w:szCs w:val="23"/>
        </w:rPr>
      </w:pPr>
      <w:r w:rsidRPr="00A16AB0">
        <w:rPr>
          <w:sz w:val="23"/>
          <w:szCs w:val="23"/>
          <w:u w:val="single"/>
        </w:rPr>
        <w:tab/>
      </w:r>
      <w:r w:rsidRPr="00A16AB0">
        <w:rPr>
          <w:sz w:val="23"/>
          <w:szCs w:val="23"/>
          <w:u w:val="single"/>
        </w:rPr>
        <w:tab/>
      </w:r>
      <w:r w:rsidRPr="00A16AB0">
        <w:rPr>
          <w:sz w:val="23"/>
          <w:szCs w:val="23"/>
          <w:u w:val="single"/>
        </w:rPr>
        <w:tab/>
      </w:r>
      <w:r w:rsidRPr="00A16AB0">
        <w:rPr>
          <w:sz w:val="23"/>
          <w:szCs w:val="23"/>
          <w:u w:val="single"/>
        </w:rPr>
        <w:tab/>
      </w:r>
      <w:r w:rsidRPr="00A16AB0">
        <w:rPr>
          <w:sz w:val="23"/>
          <w:szCs w:val="23"/>
          <w:u w:val="single"/>
        </w:rPr>
        <w:tab/>
      </w:r>
    </w:p>
    <w:p w:rsidR="008C5B65" w:rsidRPr="00A16AB0" w:rsidRDefault="008C5B65" w:rsidP="008C5B65">
      <w:pPr>
        <w:rPr>
          <w:sz w:val="23"/>
          <w:szCs w:val="23"/>
        </w:rPr>
      </w:pPr>
      <w:r w:rsidRPr="00A16AB0">
        <w:rPr>
          <w:sz w:val="23"/>
          <w:szCs w:val="23"/>
        </w:rPr>
        <w:t>Witness</w:t>
      </w:r>
    </w:p>
    <w:p w:rsidR="008C5B65" w:rsidRPr="00A16AB0" w:rsidRDefault="008C5B65" w:rsidP="008C5B65">
      <w:pPr>
        <w:ind w:right="540"/>
      </w:pPr>
    </w:p>
    <w:p w:rsidR="008C5B65" w:rsidRDefault="008C5B65" w:rsidP="008C5B65"/>
    <w:sectPr w:rsidR="008C5B65" w:rsidSect="002813F0">
      <w:footerReference w:type="default" r:id="rId8"/>
      <w:endnotePr>
        <w:numFmt w:val="decimal"/>
      </w:endnotePr>
      <w:type w:val="continuous"/>
      <w:pgSz w:w="12240" w:h="15840" w:code="1"/>
      <w:pgMar w:top="1296" w:right="1152" w:bottom="1296" w:left="1152" w:header="144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D0555" w15:done="0"/>
  <w15:commentEx w15:paraId="0FB261D2" w15:done="0"/>
  <w15:commentEx w15:paraId="230DBBC1" w15:paraIdParent="0FB261D2" w15:done="0"/>
  <w15:commentEx w15:paraId="60E8AF8E" w15:done="0"/>
  <w15:commentEx w15:paraId="59A3CF9F" w15:done="0"/>
  <w15:commentEx w15:paraId="2FBCD5C5" w15:paraIdParent="59A3CF9F" w15:done="0"/>
  <w15:commentEx w15:paraId="7A61A354" w15:done="0"/>
  <w15:commentEx w15:paraId="0E7B6EB4" w15:paraIdParent="7A61A354" w15:done="0"/>
  <w15:commentEx w15:paraId="3052A437" w15:done="0"/>
  <w15:commentEx w15:paraId="6D72ADFD" w15:paraIdParent="3052A437" w15:done="0"/>
  <w15:commentEx w15:paraId="6389C53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59" w:rsidRDefault="00137A59">
      <w:pPr>
        <w:spacing w:line="20" w:lineRule="exact"/>
      </w:pPr>
    </w:p>
  </w:endnote>
  <w:endnote w:type="continuationSeparator" w:id="0">
    <w:p w:rsidR="00137A59" w:rsidRDefault="00137A59">
      <w:r>
        <w:t xml:space="preserve"> </w:t>
      </w:r>
    </w:p>
  </w:endnote>
  <w:endnote w:type="continuationNotice" w:id="1">
    <w:p w:rsidR="00137A59" w:rsidRDefault="00137A5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4A" w:rsidRDefault="00760F4A" w:rsidP="00760F4A">
    <w:pPr>
      <w:pStyle w:val="Footer"/>
      <w:rPr>
        <w:sz w:val="18"/>
        <w:szCs w:val="18"/>
      </w:rPr>
    </w:pPr>
  </w:p>
  <w:p w:rsidR="00137A59" w:rsidRPr="005D131B" w:rsidRDefault="00760F4A" w:rsidP="00760F4A">
    <w:pPr>
      <w:pStyle w:val="Footer"/>
      <w:rPr>
        <w:sz w:val="16"/>
        <w:szCs w:val="16"/>
      </w:rPr>
    </w:pPr>
    <w:r>
      <w:rPr>
        <w:sz w:val="18"/>
        <w:szCs w:val="18"/>
      </w:rPr>
      <w:t>I:\\WORDDOCS\PDA Governance Docs\PDA Policies 201</w:t>
    </w:r>
    <w:r w:rsidR="00122DEA">
      <w:rPr>
        <w:sz w:val="18"/>
        <w:szCs w:val="18"/>
      </w:rPr>
      <w:t>9</w:t>
    </w:r>
    <w:r>
      <w:rPr>
        <w:sz w:val="18"/>
        <w:szCs w:val="18"/>
      </w:rPr>
      <w:t>.docx</w:t>
    </w:r>
    <w:r w:rsidR="00137A59" w:rsidRPr="005D131B">
      <w:rPr>
        <w:sz w:val="16"/>
        <w:szCs w:val="16"/>
      </w:rPr>
      <w:tab/>
      <w:t xml:space="preserve">Page </w:t>
    </w:r>
    <w:r w:rsidR="00220E11" w:rsidRPr="005D131B">
      <w:rPr>
        <w:sz w:val="16"/>
        <w:szCs w:val="16"/>
      </w:rPr>
      <w:fldChar w:fldCharType="begin"/>
    </w:r>
    <w:r w:rsidR="00137A59" w:rsidRPr="005D131B">
      <w:rPr>
        <w:sz w:val="16"/>
        <w:szCs w:val="16"/>
      </w:rPr>
      <w:instrText xml:space="preserve"> PAGE </w:instrText>
    </w:r>
    <w:r w:rsidR="00220E11" w:rsidRPr="005D131B">
      <w:rPr>
        <w:sz w:val="16"/>
        <w:szCs w:val="16"/>
      </w:rPr>
      <w:fldChar w:fldCharType="separate"/>
    </w:r>
    <w:r w:rsidR="008900F8">
      <w:rPr>
        <w:noProof/>
        <w:sz w:val="16"/>
        <w:szCs w:val="16"/>
      </w:rPr>
      <w:t>2</w:t>
    </w:r>
    <w:r w:rsidR="00220E11" w:rsidRPr="005D131B">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59" w:rsidRDefault="00137A59">
      <w:r>
        <w:separator/>
      </w:r>
    </w:p>
  </w:footnote>
  <w:footnote w:type="continuationSeparator" w:id="0">
    <w:p w:rsidR="00137A59" w:rsidRPr="00ED37B9" w:rsidRDefault="00137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131FE"/>
    <w:multiLevelType w:val="hybridMultilevel"/>
    <w:tmpl w:val="687CB7D6"/>
    <w:lvl w:ilvl="0" w:tplc="F53ED0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1265"/>
    <w:multiLevelType w:val="hybridMultilevel"/>
    <w:tmpl w:val="A3AEF984"/>
    <w:lvl w:ilvl="0" w:tplc="18BC2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A35AE6"/>
    <w:multiLevelType w:val="hybridMultilevel"/>
    <w:tmpl w:val="09C0545E"/>
    <w:lvl w:ilvl="0" w:tplc="174295FC">
      <w:start w:val="1"/>
      <w:numFmt w:val="lowerLetter"/>
      <w:lvlText w:val="%1."/>
      <w:lvlJc w:val="left"/>
      <w:pPr>
        <w:ind w:left="1440" w:hanging="360"/>
      </w:pPr>
    </w:lvl>
    <w:lvl w:ilvl="1" w:tplc="49D87278" w:tentative="1">
      <w:start w:val="1"/>
      <w:numFmt w:val="lowerLetter"/>
      <w:lvlText w:val="%2."/>
      <w:lvlJc w:val="left"/>
      <w:pPr>
        <w:ind w:left="2160" w:hanging="360"/>
      </w:pPr>
    </w:lvl>
    <w:lvl w:ilvl="2" w:tplc="E86E4988" w:tentative="1">
      <w:start w:val="1"/>
      <w:numFmt w:val="lowerRoman"/>
      <w:lvlText w:val="%3."/>
      <w:lvlJc w:val="right"/>
      <w:pPr>
        <w:ind w:left="2880" w:hanging="180"/>
      </w:pPr>
    </w:lvl>
    <w:lvl w:ilvl="3" w:tplc="673CF3E0" w:tentative="1">
      <w:start w:val="1"/>
      <w:numFmt w:val="decimal"/>
      <w:lvlText w:val="%4."/>
      <w:lvlJc w:val="left"/>
      <w:pPr>
        <w:ind w:left="3600" w:hanging="360"/>
      </w:pPr>
    </w:lvl>
    <w:lvl w:ilvl="4" w:tplc="5F7CAF26" w:tentative="1">
      <w:start w:val="1"/>
      <w:numFmt w:val="lowerLetter"/>
      <w:lvlText w:val="%5."/>
      <w:lvlJc w:val="left"/>
      <w:pPr>
        <w:ind w:left="4320" w:hanging="360"/>
      </w:pPr>
    </w:lvl>
    <w:lvl w:ilvl="5" w:tplc="BB02BBB2" w:tentative="1">
      <w:start w:val="1"/>
      <w:numFmt w:val="lowerRoman"/>
      <w:lvlText w:val="%6."/>
      <w:lvlJc w:val="right"/>
      <w:pPr>
        <w:ind w:left="5040" w:hanging="180"/>
      </w:pPr>
    </w:lvl>
    <w:lvl w:ilvl="6" w:tplc="477CF096" w:tentative="1">
      <w:start w:val="1"/>
      <w:numFmt w:val="decimal"/>
      <w:lvlText w:val="%7."/>
      <w:lvlJc w:val="left"/>
      <w:pPr>
        <w:ind w:left="5760" w:hanging="360"/>
      </w:pPr>
    </w:lvl>
    <w:lvl w:ilvl="7" w:tplc="4C744C62" w:tentative="1">
      <w:start w:val="1"/>
      <w:numFmt w:val="lowerLetter"/>
      <w:lvlText w:val="%8."/>
      <w:lvlJc w:val="left"/>
      <w:pPr>
        <w:ind w:left="6480" w:hanging="360"/>
      </w:pPr>
    </w:lvl>
    <w:lvl w:ilvl="8" w:tplc="C32CE392" w:tentative="1">
      <w:start w:val="1"/>
      <w:numFmt w:val="lowerRoman"/>
      <w:lvlText w:val="%9."/>
      <w:lvlJc w:val="right"/>
      <w:pPr>
        <w:ind w:left="7200" w:hanging="180"/>
      </w:p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Korch">
    <w15:presenceInfo w15:providerId="Windows Live" w15:userId="e138c4a53fe3c1d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1009"/>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
  <w:rsids>
    <w:rsidRoot w:val="00F95864"/>
    <w:rsid w:val="000015F9"/>
    <w:rsid w:val="000022FD"/>
    <w:rsid w:val="00003A3B"/>
    <w:rsid w:val="00006512"/>
    <w:rsid w:val="00013967"/>
    <w:rsid w:val="0001589D"/>
    <w:rsid w:val="000207A0"/>
    <w:rsid w:val="000217E9"/>
    <w:rsid w:val="000240A4"/>
    <w:rsid w:val="00026A7F"/>
    <w:rsid w:val="00026CBB"/>
    <w:rsid w:val="00026CED"/>
    <w:rsid w:val="00027896"/>
    <w:rsid w:val="0003017F"/>
    <w:rsid w:val="00030379"/>
    <w:rsid w:val="00031E8B"/>
    <w:rsid w:val="000329AE"/>
    <w:rsid w:val="00034566"/>
    <w:rsid w:val="00036C3D"/>
    <w:rsid w:val="0004090F"/>
    <w:rsid w:val="00043E37"/>
    <w:rsid w:val="0004435E"/>
    <w:rsid w:val="00044ECF"/>
    <w:rsid w:val="0005056F"/>
    <w:rsid w:val="0005313A"/>
    <w:rsid w:val="00054E64"/>
    <w:rsid w:val="00056B14"/>
    <w:rsid w:val="00061649"/>
    <w:rsid w:val="000626A6"/>
    <w:rsid w:val="00063131"/>
    <w:rsid w:val="00064F46"/>
    <w:rsid w:val="00065227"/>
    <w:rsid w:val="00065CD3"/>
    <w:rsid w:val="000739CC"/>
    <w:rsid w:val="00074513"/>
    <w:rsid w:val="00075C50"/>
    <w:rsid w:val="00077DB1"/>
    <w:rsid w:val="00081615"/>
    <w:rsid w:val="00085D4E"/>
    <w:rsid w:val="00090425"/>
    <w:rsid w:val="00090445"/>
    <w:rsid w:val="000A11BE"/>
    <w:rsid w:val="000A2286"/>
    <w:rsid w:val="000A30BD"/>
    <w:rsid w:val="000A3142"/>
    <w:rsid w:val="000A4FD1"/>
    <w:rsid w:val="000A558B"/>
    <w:rsid w:val="000A5808"/>
    <w:rsid w:val="000A73B0"/>
    <w:rsid w:val="000A75DA"/>
    <w:rsid w:val="000B19C4"/>
    <w:rsid w:val="000B2504"/>
    <w:rsid w:val="000B577F"/>
    <w:rsid w:val="000B6927"/>
    <w:rsid w:val="000C0C5C"/>
    <w:rsid w:val="000C33C4"/>
    <w:rsid w:val="000C5651"/>
    <w:rsid w:val="000C6146"/>
    <w:rsid w:val="000C6515"/>
    <w:rsid w:val="000D1CEE"/>
    <w:rsid w:val="000D6513"/>
    <w:rsid w:val="000D74FC"/>
    <w:rsid w:val="000E07A8"/>
    <w:rsid w:val="000E4373"/>
    <w:rsid w:val="000E502C"/>
    <w:rsid w:val="000F158B"/>
    <w:rsid w:val="000F22DD"/>
    <w:rsid w:val="000F247D"/>
    <w:rsid w:val="000F37B3"/>
    <w:rsid w:val="000F7B48"/>
    <w:rsid w:val="00105003"/>
    <w:rsid w:val="00113EA0"/>
    <w:rsid w:val="0011453F"/>
    <w:rsid w:val="00122DEA"/>
    <w:rsid w:val="00127017"/>
    <w:rsid w:val="0012708F"/>
    <w:rsid w:val="001301F9"/>
    <w:rsid w:val="0013047C"/>
    <w:rsid w:val="00132A87"/>
    <w:rsid w:val="00133ACA"/>
    <w:rsid w:val="00133BAB"/>
    <w:rsid w:val="001340BE"/>
    <w:rsid w:val="00135D29"/>
    <w:rsid w:val="00135F6D"/>
    <w:rsid w:val="00136A41"/>
    <w:rsid w:val="00136C8A"/>
    <w:rsid w:val="00137A59"/>
    <w:rsid w:val="00140E8B"/>
    <w:rsid w:val="001411DF"/>
    <w:rsid w:val="0014620A"/>
    <w:rsid w:val="00155556"/>
    <w:rsid w:val="001574F6"/>
    <w:rsid w:val="00162109"/>
    <w:rsid w:val="00162F3B"/>
    <w:rsid w:val="00166A61"/>
    <w:rsid w:val="00167876"/>
    <w:rsid w:val="00167C92"/>
    <w:rsid w:val="00170365"/>
    <w:rsid w:val="00174A99"/>
    <w:rsid w:val="00176AC1"/>
    <w:rsid w:val="00176F19"/>
    <w:rsid w:val="00182285"/>
    <w:rsid w:val="00182B80"/>
    <w:rsid w:val="001837CA"/>
    <w:rsid w:val="0018607C"/>
    <w:rsid w:val="00191EEA"/>
    <w:rsid w:val="00193C6A"/>
    <w:rsid w:val="001A2DBC"/>
    <w:rsid w:val="001A42DE"/>
    <w:rsid w:val="001A59B8"/>
    <w:rsid w:val="001A637B"/>
    <w:rsid w:val="001A68FB"/>
    <w:rsid w:val="001A7D3F"/>
    <w:rsid w:val="001B0C38"/>
    <w:rsid w:val="001B39C3"/>
    <w:rsid w:val="001C175A"/>
    <w:rsid w:val="001C1E29"/>
    <w:rsid w:val="001C33A2"/>
    <w:rsid w:val="001C3EB6"/>
    <w:rsid w:val="001C5360"/>
    <w:rsid w:val="001D00EB"/>
    <w:rsid w:val="001D05CD"/>
    <w:rsid w:val="001D42C4"/>
    <w:rsid w:val="001D48F1"/>
    <w:rsid w:val="001D68DB"/>
    <w:rsid w:val="001D6DD2"/>
    <w:rsid w:val="001F1F57"/>
    <w:rsid w:val="001F41F2"/>
    <w:rsid w:val="002011A7"/>
    <w:rsid w:val="00201966"/>
    <w:rsid w:val="00204006"/>
    <w:rsid w:val="00207E88"/>
    <w:rsid w:val="00212363"/>
    <w:rsid w:val="00216871"/>
    <w:rsid w:val="00220572"/>
    <w:rsid w:val="00220D0F"/>
    <w:rsid w:val="00220E11"/>
    <w:rsid w:val="002210E5"/>
    <w:rsid w:val="00221F4B"/>
    <w:rsid w:val="00223E5D"/>
    <w:rsid w:val="002247FF"/>
    <w:rsid w:val="00224FF7"/>
    <w:rsid w:val="00225635"/>
    <w:rsid w:val="0023373A"/>
    <w:rsid w:val="00241073"/>
    <w:rsid w:val="002413B1"/>
    <w:rsid w:val="002464C5"/>
    <w:rsid w:val="00246748"/>
    <w:rsid w:val="0024708E"/>
    <w:rsid w:val="00251115"/>
    <w:rsid w:val="00251332"/>
    <w:rsid w:val="00251517"/>
    <w:rsid w:val="00253CF3"/>
    <w:rsid w:val="00253FB8"/>
    <w:rsid w:val="0025461E"/>
    <w:rsid w:val="002551CC"/>
    <w:rsid w:val="00256328"/>
    <w:rsid w:val="00257730"/>
    <w:rsid w:val="00257F56"/>
    <w:rsid w:val="00260EBC"/>
    <w:rsid w:val="00263CC5"/>
    <w:rsid w:val="0026518C"/>
    <w:rsid w:val="002663FA"/>
    <w:rsid w:val="00266A19"/>
    <w:rsid w:val="00274070"/>
    <w:rsid w:val="0027660A"/>
    <w:rsid w:val="00280951"/>
    <w:rsid w:val="002812C7"/>
    <w:rsid w:val="002813F0"/>
    <w:rsid w:val="00282471"/>
    <w:rsid w:val="00282535"/>
    <w:rsid w:val="002827E0"/>
    <w:rsid w:val="00282879"/>
    <w:rsid w:val="002842E4"/>
    <w:rsid w:val="00287A03"/>
    <w:rsid w:val="00290A5C"/>
    <w:rsid w:val="0029126F"/>
    <w:rsid w:val="00291768"/>
    <w:rsid w:val="00291D30"/>
    <w:rsid w:val="00292A0E"/>
    <w:rsid w:val="00296135"/>
    <w:rsid w:val="00296221"/>
    <w:rsid w:val="002A0267"/>
    <w:rsid w:val="002A1C6E"/>
    <w:rsid w:val="002A2F37"/>
    <w:rsid w:val="002A6892"/>
    <w:rsid w:val="002B0333"/>
    <w:rsid w:val="002B0B9F"/>
    <w:rsid w:val="002B73A1"/>
    <w:rsid w:val="002B7B77"/>
    <w:rsid w:val="002C1D8F"/>
    <w:rsid w:val="002C1E93"/>
    <w:rsid w:val="002C2BF6"/>
    <w:rsid w:val="002C3AE4"/>
    <w:rsid w:val="002C7428"/>
    <w:rsid w:val="002C7C69"/>
    <w:rsid w:val="002D1B67"/>
    <w:rsid w:val="002E11C6"/>
    <w:rsid w:val="002E380C"/>
    <w:rsid w:val="002E4671"/>
    <w:rsid w:val="002E5DDE"/>
    <w:rsid w:val="002E7BB4"/>
    <w:rsid w:val="002F2142"/>
    <w:rsid w:val="002F4837"/>
    <w:rsid w:val="002F7F3D"/>
    <w:rsid w:val="00300F91"/>
    <w:rsid w:val="003012A0"/>
    <w:rsid w:val="003056CC"/>
    <w:rsid w:val="0031285E"/>
    <w:rsid w:val="00312B7A"/>
    <w:rsid w:val="003130F4"/>
    <w:rsid w:val="00315422"/>
    <w:rsid w:val="00315FD6"/>
    <w:rsid w:val="00316AF4"/>
    <w:rsid w:val="003174B5"/>
    <w:rsid w:val="00320593"/>
    <w:rsid w:val="00320B6D"/>
    <w:rsid w:val="0032142D"/>
    <w:rsid w:val="003233FE"/>
    <w:rsid w:val="00323530"/>
    <w:rsid w:val="00323572"/>
    <w:rsid w:val="00324F55"/>
    <w:rsid w:val="0032528F"/>
    <w:rsid w:val="00335789"/>
    <w:rsid w:val="003415D3"/>
    <w:rsid w:val="00342894"/>
    <w:rsid w:val="00342FE3"/>
    <w:rsid w:val="003512E9"/>
    <w:rsid w:val="0035367A"/>
    <w:rsid w:val="00354D1D"/>
    <w:rsid w:val="00355B83"/>
    <w:rsid w:val="00363324"/>
    <w:rsid w:val="003674D2"/>
    <w:rsid w:val="00370B4E"/>
    <w:rsid w:val="00372F04"/>
    <w:rsid w:val="0037689C"/>
    <w:rsid w:val="00380BF7"/>
    <w:rsid w:val="00383565"/>
    <w:rsid w:val="00392780"/>
    <w:rsid w:val="00394A9B"/>
    <w:rsid w:val="00394AF4"/>
    <w:rsid w:val="00395BA7"/>
    <w:rsid w:val="003A022E"/>
    <w:rsid w:val="003A02FE"/>
    <w:rsid w:val="003A6B70"/>
    <w:rsid w:val="003A7F65"/>
    <w:rsid w:val="003B23E4"/>
    <w:rsid w:val="003B7D16"/>
    <w:rsid w:val="003C06C5"/>
    <w:rsid w:val="003C0710"/>
    <w:rsid w:val="003C0B24"/>
    <w:rsid w:val="003C3D8C"/>
    <w:rsid w:val="003C4037"/>
    <w:rsid w:val="003D2C9A"/>
    <w:rsid w:val="003D597C"/>
    <w:rsid w:val="003D7A8F"/>
    <w:rsid w:val="003E1451"/>
    <w:rsid w:val="003E22F2"/>
    <w:rsid w:val="003E3F12"/>
    <w:rsid w:val="003E58B1"/>
    <w:rsid w:val="003E6CEF"/>
    <w:rsid w:val="003E7138"/>
    <w:rsid w:val="003F763C"/>
    <w:rsid w:val="00400A1B"/>
    <w:rsid w:val="004018BC"/>
    <w:rsid w:val="004024C5"/>
    <w:rsid w:val="004035E7"/>
    <w:rsid w:val="004039A5"/>
    <w:rsid w:val="00404937"/>
    <w:rsid w:val="00406853"/>
    <w:rsid w:val="0041056C"/>
    <w:rsid w:val="00411FD2"/>
    <w:rsid w:val="004160D6"/>
    <w:rsid w:val="00416A1E"/>
    <w:rsid w:val="00416CD8"/>
    <w:rsid w:val="004201BD"/>
    <w:rsid w:val="004220D6"/>
    <w:rsid w:val="00422AE6"/>
    <w:rsid w:val="00423C98"/>
    <w:rsid w:val="00424002"/>
    <w:rsid w:val="00425CA2"/>
    <w:rsid w:val="00427A24"/>
    <w:rsid w:val="00431AF0"/>
    <w:rsid w:val="00432349"/>
    <w:rsid w:val="004332F9"/>
    <w:rsid w:val="004360C4"/>
    <w:rsid w:val="004365D5"/>
    <w:rsid w:val="00436D5A"/>
    <w:rsid w:val="00437297"/>
    <w:rsid w:val="004414AB"/>
    <w:rsid w:val="00441938"/>
    <w:rsid w:val="004441F5"/>
    <w:rsid w:val="00446395"/>
    <w:rsid w:val="004501F0"/>
    <w:rsid w:val="004521BE"/>
    <w:rsid w:val="004550B9"/>
    <w:rsid w:val="00460117"/>
    <w:rsid w:val="00463EC2"/>
    <w:rsid w:val="00465568"/>
    <w:rsid w:val="0047136E"/>
    <w:rsid w:val="00473E68"/>
    <w:rsid w:val="00476AA3"/>
    <w:rsid w:val="004815F6"/>
    <w:rsid w:val="00485B82"/>
    <w:rsid w:val="0048642D"/>
    <w:rsid w:val="004865C5"/>
    <w:rsid w:val="00491351"/>
    <w:rsid w:val="004A1BFF"/>
    <w:rsid w:val="004A274C"/>
    <w:rsid w:val="004B40B9"/>
    <w:rsid w:val="004B4614"/>
    <w:rsid w:val="004B4E7B"/>
    <w:rsid w:val="004B5199"/>
    <w:rsid w:val="004C33BB"/>
    <w:rsid w:val="004C7320"/>
    <w:rsid w:val="004D1D86"/>
    <w:rsid w:val="004D2B0C"/>
    <w:rsid w:val="004D427E"/>
    <w:rsid w:val="004E1592"/>
    <w:rsid w:val="004E1739"/>
    <w:rsid w:val="004E3400"/>
    <w:rsid w:val="004E343B"/>
    <w:rsid w:val="004E663F"/>
    <w:rsid w:val="004F018B"/>
    <w:rsid w:val="004F6778"/>
    <w:rsid w:val="004F6E30"/>
    <w:rsid w:val="004F7223"/>
    <w:rsid w:val="0050066D"/>
    <w:rsid w:val="005013A8"/>
    <w:rsid w:val="00505751"/>
    <w:rsid w:val="00506700"/>
    <w:rsid w:val="00506B2C"/>
    <w:rsid w:val="00511C1F"/>
    <w:rsid w:val="0051245A"/>
    <w:rsid w:val="005151BA"/>
    <w:rsid w:val="00520328"/>
    <w:rsid w:val="00521474"/>
    <w:rsid w:val="00521C79"/>
    <w:rsid w:val="00521CAA"/>
    <w:rsid w:val="00527FCB"/>
    <w:rsid w:val="00530A47"/>
    <w:rsid w:val="00533501"/>
    <w:rsid w:val="00533EF7"/>
    <w:rsid w:val="00534E6A"/>
    <w:rsid w:val="00537708"/>
    <w:rsid w:val="00540711"/>
    <w:rsid w:val="00544198"/>
    <w:rsid w:val="005451F1"/>
    <w:rsid w:val="0054552C"/>
    <w:rsid w:val="00547284"/>
    <w:rsid w:val="005502CF"/>
    <w:rsid w:val="00551C28"/>
    <w:rsid w:val="005526B6"/>
    <w:rsid w:val="00556CF8"/>
    <w:rsid w:val="00560211"/>
    <w:rsid w:val="005629DA"/>
    <w:rsid w:val="00565786"/>
    <w:rsid w:val="0056753C"/>
    <w:rsid w:val="005703F0"/>
    <w:rsid w:val="00571296"/>
    <w:rsid w:val="005726D1"/>
    <w:rsid w:val="0057617B"/>
    <w:rsid w:val="005763C1"/>
    <w:rsid w:val="0057739D"/>
    <w:rsid w:val="0058025F"/>
    <w:rsid w:val="00580D01"/>
    <w:rsid w:val="00580F33"/>
    <w:rsid w:val="00582D99"/>
    <w:rsid w:val="005840EB"/>
    <w:rsid w:val="00585C86"/>
    <w:rsid w:val="00586754"/>
    <w:rsid w:val="00587BE4"/>
    <w:rsid w:val="00596E45"/>
    <w:rsid w:val="005A22C2"/>
    <w:rsid w:val="005A2E0D"/>
    <w:rsid w:val="005A32BF"/>
    <w:rsid w:val="005A3445"/>
    <w:rsid w:val="005A34B9"/>
    <w:rsid w:val="005A4110"/>
    <w:rsid w:val="005A4AC3"/>
    <w:rsid w:val="005B4885"/>
    <w:rsid w:val="005B7116"/>
    <w:rsid w:val="005C0A24"/>
    <w:rsid w:val="005C10BD"/>
    <w:rsid w:val="005C602A"/>
    <w:rsid w:val="005C64C6"/>
    <w:rsid w:val="005D131B"/>
    <w:rsid w:val="005D2AC2"/>
    <w:rsid w:val="005D6DB2"/>
    <w:rsid w:val="005E134E"/>
    <w:rsid w:val="005E4FBE"/>
    <w:rsid w:val="005E5676"/>
    <w:rsid w:val="005E6681"/>
    <w:rsid w:val="005F5249"/>
    <w:rsid w:val="005F7053"/>
    <w:rsid w:val="00603FF5"/>
    <w:rsid w:val="00604FB2"/>
    <w:rsid w:val="00606260"/>
    <w:rsid w:val="0061004A"/>
    <w:rsid w:val="006143F4"/>
    <w:rsid w:val="00615422"/>
    <w:rsid w:val="006173D1"/>
    <w:rsid w:val="00620528"/>
    <w:rsid w:val="00622179"/>
    <w:rsid w:val="00623E7C"/>
    <w:rsid w:val="00625A28"/>
    <w:rsid w:val="00626A90"/>
    <w:rsid w:val="00627DD4"/>
    <w:rsid w:val="00630760"/>
    <w:rsid w:val="00634B16"/>
    <w:rsid w:val="00635A1B"/>
    <w:rsid w:val="006413A6"/>
    <w:rsid w:val="00643A56"/>
    <w:rsid w:val="006509AE"/>
    <w:rsid w:val="00654D5F"/>
    <w:rsid w:val="006620A3"/>
    <w:rsid w:val="00663084"/>
    <w:rsid w:val="0066790B"/>
    <w:rsid w:val="00667931"/>
    <w:rsid w:val="00670128"/>
    <w:rsid w:val="0067050C"/>
    <w:rsid w:val="006711B3"/>
    <w:rsid w:val="00674DC7"/>
    <w:rsid w:val="0067680A"/>
    <w:rsid w:val="00676EEC"/>
    <w:rsid w:val="00681169"/>
    <w:rsid w:val="006868C5"/>
    <w:rsid w:val="00687C63"/>
    <w:rsid w:val="00691658"/>
    <w:rsid w:val="0069189C"/>
    <w:rsid w:val="0069576C"/>
    <w:rsid w:val="0069774D"/>
    <w:rsid w:val="006A1185"/>
    <w:rsid w:val="006A21E9"/>
    <w:rsid w:val="006A3509"/>
    <w:rsid w:val="006A4E9D"/>
    <w:rsid w:val="006A6E61"/>
    <w:rsid w:val="006A6F8B"/>
    <w:rsid w:val="006A75AF"/>
    <w:rsid w:val="006A78C7"/>
    <w:rsid w:val="006B030B"/>
    <w:rsid w:val="006B2147"/>
    <w:rsid w:val="006B282F"/>
    <w:rsid w:val="006B45D4"/>
    <w:rsid w:val="006B49D5"/>
    <w:rsid w:val="006B506A"/>
    <w:rsid w:val="006B56CD"/>
    <w:rsid w:val="006B69D7"/>
    <w:rsid w:val="006B7E6E"/>
    <w:rsid w:val="006C2AC7"/>
    <w:rsid w:val="006C324F"/>
    <w:rsid w:val="006C38E7"/>
    <w:rsid w:val="006C7166"/>
    <w:rsid w:val="006C724C"/>
    <w:rsid w:val="006C7ACB"/>
    <w:rsid w:val="006D0317"/>
    <w:rsid w:val="006D399B"/>
    <w:rsid w:val="006D7E15"/>
    <w:rsid w:val="006E0922"/>
    <w:rsid w:val="006E15B9"/>
    <w:rsid w:val="006E1ABF"/>
    <w:rsid w:val="006E2E48"/>
    <w:rsid w:val="006E4B5F"/>
    <w:rsid w:val="006F0815"/>
    <w:rsid w:val="006F39DF"/>
    <w:rsid w:val="006F4D1F"/>
    <w:rsid w:val="006F7502"/>
    <w:rsid w:val="007062D3"/>
    <w:rsid w:val="0071074E"/>
    <w:rsid w:val="00710E8E"/>
    <w:rsid w:val="00712B6E"/>
    <w:rsid w:val="00713747"/>
    <w:rsid w:val="007153AB"/>
    <w:rsid w:val="00716083"/>
    <w:rsid w:val="007173A9"/>
    <w:rsid w:val="00720AA7"/>
    <w:rsid w:val="00721D0E"/>
    <w:rsid w:val="00723440"/>
    <w:rsid w:val="00723F44"/>
    <w:rsid w:val="00740C68"/>
    <w:rsid w:val="00740EF4"/>
    <w:rsid w:val="00742EEC"/>
    <w:rsid w:val="0074352F"/>
    <w:rsid w:val="0074656A"/>
    <w:rsid w:val="00750C33"/>
    <w:rsid w:val="007537F2"/>
    <w:rsid w:val="00754900"/>
    <w:rsid w:val="0075501E"/>
    <w:rsid w:val="00755911"/>
    <w:rsid w:val="00760386"/>
    <w:rsid w:val="00760F4A"/>
    <w:rsid w:val="00761B46"/>
    <w:rsid w:val="00761E97"/>
    <w:rsid w:val="007626CB"/>
    <w:rsid w:val="00772A88"/>
    <w:rsid w:val="007756A3"/>
    <w:rsid w:val="007760AF"/>
    <w:rsid w:val="007766D6"/>
    <w:rsid w:val="007774B8"/>
    <w:rsid w:val="00777F0E"/>
    <w:rsid w:val="00783619"/>
    <w:rsid w:val="0078384D"/>
    <w:rsid w:val="00784CCE"/>
    <w:rsid w:val="0079099F"/>
    <w:rsid w:val="0079147A"/>
    <w:rsid w:val="007924FA"/>
    <w:rsid w:val="00793CB3"/>
    <w:rsid w:val="00795505"/>
    <w:rsid w:val="00796C1C"/>
    <w:rsid w:val="007A3CAC"/>
    <w:rsid w:val="007A5DDB"/>
    <w:rsid w:val="007A63BB"/>
    <w:rsid w:val="007A6C6D"/>
    <w:rsid w:val="007B093F"/>
    <w:rsid w:val="007C10D6"/>
    <w:rsid w:val="007C1920"/>
    <w:rsid w:val="007C25E4"/>
    <w:rsid w:val="007C7DCB"/>
    <w:rsid w:val="007D19B6"/>
    <w:rsid w:val="007D5299"/>
    <w:rsid w:val="007D6339"/>
    <w:rsid w:val="007E01C1"/>
    <w:rsid w:val="007E0FDD"/>
    <w:rsid w:val="007E1370"/>
    <w:rsid w:val="007E2F80"/>
    <w:rsid w:val="007E7812"/>
    <w:rsid w:val="007F4D79"/>
    <w:rsid w:val="007F4F46"/>
    <w:rsid w:val="00802D22"/>
    <w:rsid w:val="00803178"/>
    <w:rsid w:val="00806DBF"/>
    <w:rsid w:val="008079C8"/>
    <w:rsid w:val="00810B8B"/>
    <w:rsid w:val="00810EB2"/>
    <w:rsid w:val="0081158E"/>
    <w:rsid w:val="00812ABD"/>
    <w:rsid w:val="00816842"/>
    <w:rsid w:val="00817663"/>
    <w:rsid w:val="0082081A"/>
    <w:rsid w:val="0082316A"/>
    <w:rsid w:val="008242D8"/>
    <w:rsid w:val="00827E57"/>
    <w:rsid w:val="008318D2"/>
    <w:rsid w:val="00844839"/>
    <w:rsid w:val="00845484"/>
    <w:rsid w:val="00845AF7"/>
    <w:rsid w:val="008477B8"/>
    <w:rsid w:val="00847960"/>
    <w:rsid w:val="00852547"/>
    <w:rsid w:val="00854D51"/>
    <w:rsid w:val="00855120"/>
    <w:rsid w:val="0085631F"/>
    <w:rsid w:val="008600B4"/>
    <w:rsid w:val="00860DDF"/>
    <w:rsid w:val="0086103F"/>
    <w:rsid w:val="008616B1"/>
    <w:rsid w:val="008640BC"/>
    <w:rsid w:val="00864A52"/>
    <w:rsid w:val="0087015B"/>
    <w:rsid w:val="008714B1"/>
    <w:rsid w:val="0087690E"/>
    <w:rsid w:val="00877020"/>
    <w:rsid w:val="008775B2"/>
    <w:rsid w:val="008802E4"/>
    <w:rsid w:val="0088293C"/>
    <w:rsid w:val="00883026"/>
    <w:rsid w:val="008851CB"/>
    <w:rsid w:val="00886B7B"/>
    <w:rsid w:val="00887473"/>
    <w:rsid w:val="00887A25"/>
    <w:rsid w:val="008900F8"/>
    <w:rsid w:val="00891810"/>
    <w:rsid w:val="00893DE7"/>
    <w:rsid w:val="00894143"/>
    <w:rsid w:val="0089428A"/>
    <w:rsid w:val="008A1F71"/>
    <w:rsid w:val="008A401D"/>
    <w:rsid w:val="008A4C92"/>
    <w:rsid w:val="008A7001"/>
    <w:rsid w:val="008B1E2C"/>
    <w:rsid w:val="008B39C8"/>
    <w:rsid w:val="008B7582"/>
    <w:rsid w:val="008C5B65"/>
    <w:rsid w:val="008C5B7D"/>
    <w:rsid w:val="008C5C7E"/>
    <w:rsid w:val="008D10E1"/>
    <w:rsid w:val="008D1EF5"/>
    <w:rsid w:val="008D4EEF"/>
    <w:rsid w:val="008D6CBE"/>
    <w:rsid w:val="008D7C54"/>
    <w:rsid w:val="008E2A34"/>
    <w:rsid w:val="008E56C2"/>
    <w:rsid w:val="00907576"/>
    <w:rsid w:val="00914AC3"/>
    <w:rsid w:val="00917F53"/>
    <w:rsid w:val="00922779"/>
    <w:rsid w:val="00922DE9"/>
    <w:rsid w:val="0092572A"/>
    <w:rsid w:val="0093453E"/>
    <w:rsid w:val="009362CA"/>
    <w:rsid w:val="009422FA"/>
    <w:rsid w:val="00955A23"/>
    <w:rsid w:val="00956688"/>
    <w:rsid w:val="009567CC"/>
    <w:rsid w:val="0095747D"/>
    <w:rsid w:val="00957E3B"/>
    <w:rsid w:val="0096354C"/>
    <w:rsid w:val="0096468C"/>
    <w:rsid w:val="009668E2"/>
    <w:rsid w:val="00967A3F"/>
    <w:rsid w:val="00967C44"/>
    <w:rsid w:val="00971409"/>
    <w:rsid w:val="0097150B"/>
    <w:rsid w:val="00974410"/>
    <w:rsid w:val="009769CA"/>
    <w:rsid w:val="00976D38"/>
    <w:rsid w:val="009813D2"/>
    <w:rsid w:val="00984310"/>
    <w:rsid w:val="00985EE9"/>
    <w:rsid w:val="0099119D"/>
    <w:rsid w:val="009920FD"/>
    <w:rsid w:val="00994E30"/>
    <w:rsid w:val="0099507A"/>
    <w:rsid w:val="00996682"/>
    <w:rsid w:val="00996A29"/>
    <w:rsid w:val="009A0DF0"/>
    <w:rsid w:val="009A11C2"/>
    <w:rsid w:val="009A25BF"/>
    <w:rsid w:val="009A41A4"/>
    <w:rsid w:val="009A66CC"/>
    <w:rsid w:val="009A7B33"/>
    <w:rsid w:val="009A7C44"/>
    <w:rsid w:val="009B0C74"/>
    <w:rsid w:val="009B22C8"/>
    <w:rsid w:val="009B5189"/>
    <w:rsid w:val="009C03D7"/>
    <w:rsid w:val="009C075C"/>
    <w:rsid w:val="009C19E8"/>
    <w:rsid w:val="009C255C"/>
    <w:rsid w:val="009C30CD"/>
    <w:rsid w:val="009C5501"/>
    <w:rsid w:val="009D3FDB"/>
    <w:rsid w:val="009D43B5"/>
    <w:rsid w:val="009D6F79"/>
    <w:rsid w:val="009D7F08"/>
    <w:rsid w:val="009E2FF7"/>
    <w:rsid w:val="009E3565"/>
    <w:rsid w:val="009E6FDF"/>
    <w:rsid w:val="009F1772"/>
    <w:rsid w:val="009F5BC5"/>
    <w:rsid w:val="009F5C88"/>
    <w:rsid w:val="009F786C"/>
    <w:rsid w:val="00A0074C"/>
    <w:rsid w:val="00A0330C"/>
    <w:rsid w:val="00A1292F"/>
    <w:rsid w:val="00A1461E"/>
    <w:rsid w:val="00A14927"/>
    <w:rsid w:val="00A16EA5"/>
    <w:rsid w:val="00A24227"/>
    <w:rsid w:val="00A249CC"/>
    <w:rsid w:val="00A31B07"/>
    <w:rsid w:val="00A31B90"/>
    <w:rsid w:val="00A33F5A"/>
    <w:rsid w:val="00A37D12"/>
    <w:rsid w:val="00A43AFA"/>
    <w:rsid w:val="00A47E9D"/>
    <w:rsid w:val="00A50D79"/>
    <w:rsid w:val="00A51A13"/>
    <w:rsid w:val="00A56E2B"/>
    <w:rsid w:val="00A579A3"/>
    <w:rsid w:val="00A65DD2"/>
    <w:rsid w:val="00A74D1B"/>
    <w:rsid w:val="00A75FFF"/>
    <w:rsid w:val="00A77A88"/>
    <w:rsid w:val="00A825E4"/>
    <w:rsid w:val="00A900C8"/>
    <w:rsid w:val="00A90BBA"/>
    <w:rsid w:val="00A90D2F"/>
    <w:rsid w:val="00A9446C"/>
    <w:rsid w:val="00A960F3"/>
    <w:rsid w:val="00A9702E"/>
    <w:rsid w:val="00AA0850"/>
    <w:rsid w:val="00AA394A"/>
    <w:rsid w:val="00AA436A"/>
    <w:rsid w:val="00AA4D96"/>
    <w:rsid w:val="00AB17B9"/>
    <w:rsid w:val="00AC1E90"/>
    <w:rsid w:val="00AC2740"/>
    <w:rsid w:val="00AC2FB2"/>
    <w:rsid w:val="00AC5F10"/>
    <w:rsid w:val="00AC6516"/>
    <w:rsid w:val="00AC6615"/>
    <w:rsid w:val="00AC79C1"/>
    <w:rsid w:val="00AC7EFC"/>
    <w:rsid w:val="00AD096C"/>
    <w:rsid w:val="00AD166E"/>
    <w:rsid w:val="00AD4DDA"/>
    <w:rsid w:val="00AD572A"/>
    <w:rsid w:val="00AD7795"/>
    <w:rsid w:val="00AE1186"/>
    <w:rsid w:val="00AE2A50"/>
    <w:rsid w:val="00AE3175"/>
    <w:rsid w:val="00AE38AA"/>
    <w:rsid w:val="00AE417D"/>
    <w:rsid w:val="00AE4EBE"/>
    <w:rsid w:val="00AE6716"/>
    <w:rsid w:val="00AF03D9"/>
    <w:rsid w:val="00AF2177"/>
    <w:rsid w:val="00AF46CC"/>
    <w:rsid w:val="00B025EF"/>
    <w:rsid w:val="00B053E1"/>
    <w:rsid w:val="00B10E36"/>
    <w:rsid w:val="00B20F75"/>
    <w:rsid w:val="00B22D05"/>
    <w:rsid w:val="00B22FD8"/>
    <w:rsid w:val="00B23F60"/>
    <w:rsid w:val="00B247DB"/>
    <w:rsid w:val="00B32801"/>
    <w:rsid w:val="00B32DF2"/>
    <w:rsid w:val="00B33D92"/>
    <w:rsid w:val="00B369E0"/>
    <w:rsid w:val="00B3703A"/>
    <w:rsid w:val="00B42219"/>
    <w:rsid w:val="00B5089B"/>
    <w:rsid w:val="00B52561"/>
    <w:rsid w:val="00B54710"/>
    <w:rsid w:val="00B568A3"/>
    <w:rsid w:val="00B571F3"/>
    <w:rsid w:val="00B57B5B"/>
    <w:rsid w:val="00B63CED"/>
    <w:rsid w:val="00B653DC"/>
    <w:rsid w:val="00B67B0B"/>
    <w:rsid w:val="00B67CAE"/>
    <w:rsid w:val="00B67D6B"/>
    <w:rsid w:val="00B72863"/>
    <w:rsid w:val="00B72BF7"/>
    <w:rsid w:val="00B72F5B"/>
    <w:rsid w:val="00B73848"/>
    <w:rsid w:val="00B767C9"/>
    <w:rsid w:val="00B77180"/>
    <w:rsid w:val="00B77991"/>
    <w:rsid w:val="00B77F63"/>
    <w:rsid w:val="00B81079"/>
    <w:rsid w:val="00B81F75"/>
    <w:rsid w:val="00B85BF9"/>
    <w:rsid w:val="00B90FA7"/>
    <w:rsid w:val="00B97E5A"/>
    <w:rsid w:val="00BA04CC"/>
    <w:rsid w:val="00BA2276"/>
    <w:rsid w:val="00BA399F"/>
    <w:rsid w:val="00BA47F7"/>
    <w:rsid w:val="00BA5253"/>
    <w:rsid w:val="00BA5BE3"/>
    <w:rsid w:val="00BA6F2E"/>
    <w:rsid w:val="00BB4C7C"/>
    <w:rsid w:val="00BB6FAD"/>
    <w:rsid w:val="00BB7173"/>
    <w:rsid w:val="00BB7BCD"/>
    <w:rsid w:val="00BC091B"/>
    <w:rsid w:val="00BC624C"/>
    <w:rsid w:val="00BD23E4"/>
    <w:rsid w:val="00BD3F4E"/>
    <w:rsid w:val="00BD69C4"/>
    <w:rsid w:val="00BE1EC3"/>
    <w:rsid w:val="00BE1F14"/>
    <w:rsid w:val="00BE44DA"/>
    <w:rsid w:val="00BE79BA"/>
    <w:rsid w:val="00BE7EA6"/>
    <w:rsid w:val="00BF2093"/>
    <w:rsid w:val="00BF3538"/>
    <w:rsid w:val="00BF498C"/>
    <w:rsid w:val="00BF6757"/>
    <w:rsid w:val="00BF67BC"/>
    <w:rsid w:val="00BF7826"/>
    <w:rsid w:val="00C006DA"/>
    <w:rsid w:val="00C01109"/>
    <w:rsid w:val="00C0177D"/>
    <w:rsid w:val="00C060CD"/>
    <w:rsid w:val="00C0783C"/>
    <w:rsid w:val="00C118DA"/>
    <w:rsid w:val="00C11C4C"/>
    <w:rsid w:val="00C1562E"/>
    <w:rsid w:val="00C170FF"/>
    <w:rsid w:val="00C17D08"/>
    <w:rsid w:val="00C274EC"/>
    <w:rsid w:val="00C303D9"/>
    <w:rsid w:val="00C32184"/>
    <w:rsid w:val="00C356FD"/>
    <w:rsid w:val="00C36728"/>
    <w:rsid w:val="00C510FC"/>
    <w:rsid w:val="00C51E06"/>
    <w:rsid w:val="00C52ED9"/>
    <w:rsid w:val="00C55B2A"/>
    <w:rsid w:val="00C60853"/>
    <w:rsid w:val="00C60F99"/>
    <w:rsid w:val="00C61F42"/>
    <w:rsid w:val="00C629BC"/>
    <w:rsid w:val="00C63E24"/>
    <w:rsid w:val="00C64C94"/>
    <w:rsid w:val="00C65359"/>
    <w:rsid w:val="00C659E4"/>
    <w:rsid w:val="00C72765"/>
    <w:rsid w:val="00C7443E"/>
    <w:rsid w:val="00C75C73"/>
    <w:rsid w:val="00C80E30"/>
    <w:rsid w:val="00C84086"/>
    <w:rsid w:val="00C846A2"/>
    <w:rsid w:val="00C87E88"/>
    <w:rsid w:val="00C910DE"/>
    <w:rsid w:val="00C932FD"/>
    <w:rsid w:val="00CA08DE"/>
    <w:rsid w:val="00CA302E"/>
    <w:rsid w:val="00CA41DF"/>
    <w:rsid w:val="00CB04A3"/>
    <w:rsid w:val="00CB1FA4"/>
    <w:rsid w:val="00CB22BE"/>
    <w:rsid w:val="00CC1F95"/>
    <w:rsid w:val="00CC3E21"/>
    <w:rsid w:val="00CC60FD"/>
    <w:rsid w:val="00CC6677"/>
    <w:rsid w:val="00CC6D5B"/>
    <w:rsid w:val="00CC725B"/>
    <w:rsid w:val="00CD23B6"/>
    <w:rsid w:val="00CD2650"/>
    <w:rsid w:val="00CD32C0"/>
    <w:rsid w:val="00CD58E2"/>
    <w:rsid w:val="00CD6797"/>
    <w:rsid w:val="00CE2784"/>
    <w:rsid w:val="00CF229B"/>
    <w:rsid w:val="00CF4185"/>
    <w:rsid w:val="00CF5063"/>
    <w:rsid w:val="00CF5872"/>
    <w:rsid w:val="00CF7804"/>
    <w:rsid w:val="00CF7D9F"/>
    <w:rsid w:val="00D00A88"/>
    <w:rsid w:val="00D00C47"/>
    <w:rsid w:val="00D00E7D"/>
    <w:rsid w:val="00D015C0"/>
    <w:rsid w:val="00D01E1B"/>
    <w:rsid w:val="00D04DB5"/>
    <w:rsid w:val="00D05AE3"/>
    <w:rsid w:val="00D06D0F"/>
    <w:rsid w:val="00D106B0"/>
    <w:rsid w:val="00D11D98"/>
    <w:rsid w:val="00D13A24"/>
    <w:rsid w:val="00D14F1B"/>
    <w:rsid w:val="00D16435"/>
    <w:rsid w:val="00D17016"/>
    <w:rsid w:val="00D176CF"/>
    <w:rsid w:val="00D207C7"/>
    <w:rsid w:val="00D22D37"/>
    <w:rsid w:val="00D24F7C"/>
    <w:rsid w:val="00D25FAC"/>
    <w:rsid w:val="00D260A0"/>
    <w:rsid w:val="00D311B7"/>
    <w:rsid w:val="00D378D1"/>
    <w:rsid w:val="00D407CD"/>
    <w:rsid w:val="00D56C64"/>
    <w:rsid w:val="00D60012"/>
    <w:rsid w:val="00D63474"/>
    <w:rsid w:val="00D63F78"/>
    <w:rsid w:val="00D64E57"/>
    <w:rsid w:val="00D6698F"/>
    <w:rsid w:val="00D724C4"/>
    <w:rsid w:val="00D72B56"/>
    <w:rsid w:val="00D74B8F"/>
    <w:rsid w:val="00D827AB"/>
    <w:rsid w:val="00D85CBB"/>
    <w:rsid w:val="00D85DCA"/>
    <w:rsid w:val="00D86703"/>
    <w:rsid w:val="00D867A6"/>
    <w:rsid w:val="00D90A7B"/>
    <w:rsid w:val="00D90BDE"/>
    <w:rsid w:val="00D930BB"/>
    <w:rsid w:val="00D976F1"/>
    <w:rsid w:val="00DA0DCA"/>
    <w:rsid w:val="00DA2195"/>
    <w:rsid w:val="00DA2572"/>
    <w:rsid w:val="00DA25A2"/>
    <w:rsid w:val="00DA324A"/>
    <w:rsid w:val="00DA3A56"/>
    <w:rsid w:val="00DA4FFB"/>
    <w:rsid w:val="00DA5C6D"/>
    <w:rsid w:val="00DA6A7F"/>
    <w:rsid w:val="00DA6DBB"/>
    <w:rsid w:val="00DA728D"/>
    <w:rsid w:val="00DA7FBC"/>
    <w:rsid w:val="00DB2CD1"/>
    <w:rsid w:val="00DB49F5"/>
    <w:rsid w:val="00DB78A5"/>
    <w:rsid w:val="00DC0737"/>
    <w:rsid w:val="00DC1656"/>
    <w:rsid w:val="00DC1B4F"/>
    <w:rsid w:val="00DC33C9"/>
    <w:rsid w:val="00DC606C"/>
    <w:rsid w:val="00DD0060"/>
    <w:rsid w:val="00DD0EDE"/>
    <w:rsid w:val="00DD277F"/>
    <w:rsid w:val="00DD3FA3"/>
    <w:rsid w:val="00DD578D"/>
    <w:rsid w:val="00DD7034"/>
    <w:rsid w:val="00DE3585"/>
    <w:rsid w:val="00DE5A74"/>
    <w:rsid w:val="00DE66FB"/>
    <w:rsid w:val="00DE7937"/>
    <w:rsid w:val="00DF114E"/>
    <w:rsid w:val="00DF22ED"/>
    <w:rsid w:val="00DF298B"/>
    <w:rsid w:val="00E00CED"/>
    <w:rsid w:val="00E01E12"/>
    <w:rsid w:val="00E04F3C"/>
    <w:rsid w:val="00E05951"/>
    <w:rsid w:val="00E114DE"/>
    <w:rsid w:val="00E12C6E"/>
    <w:rsid w:val="00E15E4C"/>
    <w:rsid w:val="00E202DB"/>
    <w:rsid w:val="00E21454"/>
    <w:rsid w:val="00E236DA"/>
    <w:rsid w:val="00E2511A"/>
    <w:rsid w:val="00E25E50"/>
    <w:rsid w:val="00E2679B"/>
    <w:rsid w:val="00E31B31"/>
    <w:rsid w:val="00E32D5F"/>
    <w:rsid w:val="00E343D3"/>
    <w:rsid w:val="00E50453"/>
    <w:rsid w:val="00E516CB"/>
    <w:rsid w:val="00E54A3C"/>
    <w:rsid w:val="00E614AF"/>
    <w:rsid w:val="00E619C7"/>
    <w:rsid w:val="00E6242A"/>
    <w:rsid w:val="00E63505"/>
    <w:rsid w:val="00E65696"/>
    <w:rsid w:val="00E67FEF"/>
    <w:rsid w:val="00E73547"/>
    <w:rsid w:val="00E76BF8"/>
    <w:rsid w:val="00E77A25"/>
    <w:rsid w:val="00E80D4A"/>
    <w:rsid w:val="00E8192D"/>
    <w:rsid w:val="00E82C73"/>
    <w:rsid w:val="00E84DB7"/>
    <w:rsid w:val="00E85444"/>
    <w:rsid w:val="00E8692A"/>
    <w:rsid w:val="00E93E91"/>
    <w:rsid w:val="00E96D67"/>
    <w:rsid w:val="00EA17CA"/>
    <w:rsid w:val="00EA1AA2"/>
    <w:rsid w:val="00EA4C41"/>
    <w:rsid w:val="00EA57AD"/>
    <w:rsid w:val="00EA74C6"/>
    <w:rsid w:val="00EB14B2"/>
    <w:rsid w:val="00EB2152"/>
    <w:rsid w:val="00EB7BB6"/>
    <w:rsid w:val="00EC16CE"/>
    <w:rsid w:val="00EC3284"/>
    <w:rsid w:val="00EC44D0"/>
    <w:rsid w:val="00EC65CC"/>
    <w:rsid w:val="00EC6ACB"/>
    <w:rsid w:val="00EC7831"/>
    <w:rsid w:val="00ED024E"/>
    <w:rsid w:val="00ED20BC"/>
    <w:rsid w:val="00ED2377"/>
    <w:rsid w:val="00ED4078"/>
    <w:rsid w:val="00ED5D51"/>
    <w:rsid w:val="00ED69C2"/>
    <w:rsid w:val="00EE03DD"/>
    <w:rsid w:val="00EE12B8"/>
    <w:rsid w:val="00EE12D6"/>
    <w:rsid w:val="00EE5D06"/>
    <w:rsid w:val="00EE6CF4"/>
    <w:rsid w:val="00EF16D2"/>
    <w:rsid w:val="00EF4084"/>
    <w:rsid w:val="00EF67C0"/>
    <w:rsid w:val="00EF74EC"/>
    <w:rsid w:val="00F0148C"/>
    <w:rsid w:val="00F02C7C"/>
    <w:rsid w:val="00F033D3"/>
    <w:rsid w:val="00F042E7"/>
    <w:rsid w:val="00F05822"/>
    <w:rsid w:val="00F07519"/>
    <w:rsid w:val="00F102A3"/>
    <w:rsid w:val="00F116E7"/>
    <w:rsid w:val="00F12D72"/>
    <w:rsid w:val="00F12F0B"/>
    <w:rsid w:val="00F149BC"/>
    <w:rsid w:val="00F17693"/>
    <w:rsid w:val="00F17CED"/>
    <w:rsid w:val="00F17E37"/>
    <w:rsid w:val="00F20475"/>
    <w:rsid w:val="00F20606"/>
    <w:rsid w:val="00F21383"/>
    <w:rsid w:val="00F2271C"/>
    <w:rsid w:val="00F27774"/>
    <w:rsid w:val="00F303E6"/>
    <w:rsid w:val="00F32958"/>
    <w:rsid w:val="00F3416E"/>
    <w:rsid w:val="00F347E2"/>
    <w:rsid w:val="00F3600E"/>
    <w:rsid w:val="00F37CD8"/>
    <w:rsid w:val="00F4173D"/>
    <w:rsid w:val="00F43EB3"/>
    <w:rsid w:val="00F45187"/>
    <w:rsid w:val="00F466A0"/>
    <w:rsid w:val="00F52082"/>
    <w:rsid w:val="00F538D7"/>
    <w:rsid w:val="00F55ED0"/>
    <w:rsid w:val="00F5622B"/>
    <w:rsid w:val="00F57756"/>
    <w:rsid w:val="00F60886"/>
    <w:rsid w:val="00F609C7"/>
    <w:rsid w:val="00F64E70"/>
    <w:rsid w:val="00F676D4"/>
    <w:rsid w:val="00F70922"/>
    <w:rsid w:val="00F71FDB"/>
    <w:rsid w:val="00F77D04"/>
    <w:rsid w:val="00F80C21"/>
    <w:rsid w:val="00F825A6"/>
    <w:rsid w:val="00F831EE"/>
    <w:rsid w:val="00F90C9B"/>
    <w:rsid w:val="00F90D11"/>
    <w:rsid w:val="00F932A3"/>
    <w:rsid w:val="00F937B0"/>
    <w:rsid w:val="00F95864"/>
    <w:rsid w:val="00FA1860"/>
    <w:rsid w:val="00FA6C71"/>
    <w:rsid w:val="00FA7D8E"/>
    <w:rsid w:val="00FB02AB"/>
    <w:rsid w:val="00FB1CFA"/>
    <w:rsid w:val="00FB272A"/>
    <w:rsid w:val="00FB30C3"/>
    <w:rsid w:val="00FB32D2"/>
    <w:rsid w:val="00FB32F6"/>
    <w:rsid w:val="00FB384C"/>
    <w:rsid w:val="00FB38DD"/>
    <w:rsid w:val="00FB38E1"/>
    <w:rsid w:val="00FB5276"/>
    <w:rsid w:val="00FC765F"/>
    <w:rsid w:val="00FD0F8B"/>
    <w:rsid w:val="00FD2DE0"/>
    <w:rsid w:val="00FD5162"/>
    <w:rsid w:val="00FD7855"/>
    <w:rsid w:val="00FE3951"/>
    <w:rsid w:val="00FE4F02"/>
    <w:rsid w:val="00FE7368"/>
    <w:rsid w:val="00FE7C5A"/>
    <w:rsid w:val="00FF3B38"/>
    <w:rsid w:val="00FF5C24"/>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D05"/>
    <w:rPr>
      <w:rFonts w:ascii="Arial" w:hAnsi="Arial"/>
      <w:sz w:val="24"/>
    </w:rPr>
  </w:style>
  <w:style w:type="paragraph" w:styleId="Heading1">
    <w:name w:val="heading 1"/>
    <w:basedOn w:val="Normal"/>
    <w:next w:val="Normal"/>
    <w:qFormat/>
    <w:rsid w:val="00B22D05"/>
    <w:pPr>
      <w:keepNext/>
      <w:outlineLvl w:val="0"/>
    </w:pPr>
    <w:rPr>
      <w:b/>
    </w:rPr>
  </w:style>
  <w:style w:type="paragraph" w:styleId="Heading2">
    <w:name w:val="heading 2"/>
    <w:basedOn w:val="Normal"/>
    <w:next w:val="Normal"/>
    <w:qFormat/>
    <w:rsid w:val="00B22D05"/>
    <w:pPr>
      <w:keepNext/>
      <w:outlineLvl w:val="1"/>
    </w:pPr>
    <w:rPr>
      <w:b/>
    </w:rPr>
  </w:style>
  <w:style w:type="paragraph" w:styleId="Heading3">
    <w:name w:val="heading 3"/>
    <w:basedOn w:val="Normal"/>
    <w:next w:val="Normal"/>
    <w:qFormat/>
    <w:rsid w:val="00B22D05"/>
    <w:pPr>
      <w:keepNext/>
      <w:outlineLvl w:val="2"/>
    </w:pPr>
    <w:rPr>
      <w:b/>
    </w:rPr>
  </w:style>
  <w:style w:type="paragraph" w:styleId="Heading4">
    <w:name w:val="heading 4"/>
    <w:basedOn w:val="Normal"/>
    <w:next w:val="Normal"/>
    <w:qFormat/>
    <w:rsid w:val="00B22D05"/>
    <w:pPr>
      <w:keepNext/>
      <w:tabs>
        <w:tab w:val="left" w:pos="-720"/>
        <w:tab w:val="left" w:pos="0"/>
        <w:tab w:val="left" w:pos="1320"/>
        <w:tab w:val="left" w:pos="1800"/>
        <w:tab w:val="left" w:pos="2880"/>
      </w:tabs>
      <w:suppressAutoHyphens/>
      <w:jc w:val="center"/>
      <w:outlineLvl w:val="3"/>
    </w:pPr>
    <w:rPr>
      <w:b/>
    </w:rPr>
  </w:style>
  <w:style w:type="paragraph" w:styleId="Heading5">
    <w:name w:val="heading 5"/>
    <w:basedOn w:val="Normal"/>
    <w:next w:val="Normal"/>
    <w:qFormat/>
    <w:rsid w:val="00B22D05"/>
    <w:pPr>
      <w:keepNext/>
      <w:tabs>
        <w:tab w:val="left" w:pos="1490"/>
      </w:tabs>
      <w:ind w:left="1440" w:hanging="1440"/>
      <w:outlineLvl w:val="4"/>
    </w:pPr>
    <w:rPr>
      <w:b/>
      <w:caps/>
    </w:rPr>
  </w:style>
  <w:style w:type="paragraph" w:styleId="Heading6">
    <w:name w:val="heading 6"/>
    <w:basedOn w:val="Normal"/>
    <w:next w:val="Normal"/>
    <w:qFormat/>
    <w:rsid w:val="00B22D05"/>
    <w:pPr>
      <w:keepNext/>
      <w:ind w:left="1440" w:hanging="1440"/>
      <w:outlineLvl w:val="5"/>
    </w:pPr>
  </w:style>
  <w:style w:type="paragraph" w:styleId="Heading7">
    <w:name w:val="heading 7"/>
    <w:basedOn w:val="Normal"/>
    <w:next w:val="Normal"/>
    <w:qFormat/>
    <w:rsid w:val="00B22D05"/>
    <w:pPr>
      <w:keepNext/>
      <w:ind w:firstLine="1530"/>
      <w:outlineLvl w:val="6"/>
    </w:pPr>
    <w:rPr>
      <w:b/>
      <w:bCs/>
      <w:caps/>
    </w:rPr>
  </w:style>
  <w:style w:type="paragraph" w:styleId="Heading8">
    <w:name w:val="heading 8"/>
    <w:basedOn w:val="Normal"/>
    <w:next w:val="Normal"/>
    <w:qFormat/>
    <w:rsid w:val="00B22D05"/>
    <w:pPr>
      <w:keepNext/>
      <w:outlineLvl w:val="7"/>
    </w:pPr>
    <w:rPr>
      <w:b/>
      <w:bCs/>
    </w:rPr>
  </w:style>
  <w:style w:type="paragraph" w:styleId="Heading9">
    <w:name w:val="heading 9"/>
    <w:basedOn w:val="Normal"/>
    <w:next w:val="Normal"/>
    <w:qFormat/>
    <w:rsid w:val="00B22D05"/>
    <w:pPr>
      <w:keepNext/>
      <w:ind w:firstLine="1440"/>
      <w:outlineLvl w:val="8"/>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2D05"/>
  </w:style>
  <w:style w:type="character" w:styleId="EndnoteReference">
    <w:name w:val="endnote reference"/>
    <w:basedOn w:val="DefaultParagraphFont"/>
    <w:semiHidden/>
    <w:rsid w:val="00B22D05"/>
    <w:rPr>
      <w:vertAlign w:val="superscript"/>
    </w:rPr>
  </w:style>
  <w:style w:type="paragraph" w:styleId="FootnoteText">
    <w:name w:val="footnote text"/>
    <w:basedOn w:val="Normal"/>
    <w:semiHidden/>
    <w:rsid w:val="00B22D05"/>
  </w:style>
  <w:style w:type="character" w:styleId="FootnoteReference">
    <w:name w:val="footnote reference"/>
    <w:basedOn w:val="DefaultParagraphFont"/>
    <w:semiHidden/>
    <w:rsid w:val="00B22D05"/>
    <w:rPr>
      <w:vertAlign w:val="superscript"/>
    </w:rPr>
  </w:style>
  <w:style w:type="character" w:customStyle="1" w:styleId="Document8">
    <w:name w:val="Document 8"/>
    <w:basedOn w:val="DefaultParagraphFont"/>
    <w:rsid w:val="00B22D05"/>
  </w:style>
  <w:style w:type="character" w:customStyle="1" w:styleId="Document4">
    <w:name w:val="Document 4"/>
    <w:basedOn w:val="DefaultParagraphFont"/>
    <w:rsid w:val="00B22D05"/>
    <w:rPr>
      <w:b/>
      <w:i/>
      <w:sz w:val="24"/>
    </w:rPr>
  </w:style>
  <w:style w:type="character" w:customStyle="1" w:styleId="Document6">
    <w:name w:val="Document 6"/>
    <w:basedOn w:val="DefaultParagraphFont"/>
    <w:rsid w:val="00B22D05"/>
  </w:style>
  <w:style w:type="character" w:customStyle="1" w:styleId="Document5">
    <w:name w:val="Document 5"/>
    <w:basedOn w:val="DefaultParagraphFont"/>
    <w:rsid w:val="00B22D05"/>
  </w:style>
  <w:style w:type="character" w:customStyle="1" w:styleId="Document2">
    <w:name w:val="Document 2"/>
    <w:basedOn w:val="DefaultParagraphFont"/>
    <w:rsid w:val="00B22D05"/>
    <w:rPr>
      <w:rFonts w:ascii="Courier New" w:hAnsi="Courier New"/>
      <w:noProof w:val="0"/>
      <w:sz w:val="24"/>
      <w:lang w:val="en-US"/>
    </w:rPr>
  </w:style>
  <w:style w:type="character" w:customStyle="1" w:styleId="Document7">
    <w:name w:val="Document 7"/>
    <w:basedOn w:val="DefaultParagraphFont"/>
    <w:rsid w:val="00B22D05"/>
  </w:style>
  <w:style w:type="character" w:customStyle="1" w:styleId="Bibliogrphy">
    <w:name w:val="Bibliogrphy"/>
    <w:basedOn w:val="DefaultParagraphFont"/>
    <w:rsid w:val="00B22D05"/>
  </w:style>
  <w:style w:type="paragraph" w:customStyle="1" w:styleId="RightPar1">
    <w:name w:val="Right Par 1"/>
    <w:rsid w:val="00B22D05"/>
    <w:pPr>
      <w:tabs>
        <w:tab w:val="left" w:pos="-720"/>
        <w:tab w:val="left" w:pos="0"/>
        <w:tab w:val="decimal" w:pos="720"/>
      </w:tabs>
      <w:suppressAutoHyphens/>
      <w:ind w:left="720"/>
    </w:pPr>
    <w:rPr>
      <w:rFonts w:ascii="Courier New" w:hAnsi="Courier New"/>
      <w:sz w:val="24"/>
    </w:rPr>
  </w:style>
  <w:style w:type="paragraph" w:customStyle="1" w:styleId="RightPar2">
    <w:name w:val="Right Par 2"/>
    <w:rsid w:val="00B22D05"/>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basedOn w:val="DefaultParagraphFont"/>
    <w:rsid w:val="00B22D05"/>
    <w:rPr>
      <w:rFonts w:ascii="Courier New" w:hAnsi="Courier New"/>
      <w:noProof w:val="0"/>
      <w:sz w:val="24"/>
      <w:lang w:val="en-US"/>
    </w:rPr>
  </w:style>
  <w:style w:type="paragraph" w:customStyle="1" w:styleId="RightPar3">
    <w:name w:val="Right Par 3"/>
    <w:rsid w:val="00B22D05"/>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rsid w:val="00B22D05"/>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rsid w:val="00B22D0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rsid w:val="00B22D05"/>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rsid w:val="00B22D0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rsid w:val="00B22D0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rsid w:val="00B22D05"/>
    <w:pPr>
      <w:keepNext/>
      <w:keepLines/>
      <w:tabs>
        <w:tab w:val="left" w:pos="-720"/>
      </w:tabs>
      <w:suppressAutoHyphens/>
    </w:pPr>
    <w:rPr>
      <w:rFonts w:ascii="Courier New" w:hAnsi="Courier New"/>
      <w:sz w:val="24"/>
    </w:rPr>
  </w:style>
  <w:style w:type="character" w:customStyle="1" w:styleId="DocInit">
    <w:name w:val="Doc Init"/>
    <w:basedOn w:val="DefaultParagraphFont"/>
    <w:rsid w:val="00B22D05"/>
  </w:style>
  <w:style w:type="character" w:customStyle="1" w:styleId="TechInit">
    <w:name w:val="Tech Init"/>
    <w:basedOn w:val="DefaultParagraphFont"/>
    <w:rsid w:val="00B22D05"/>
    <w:rPr>
      <w:rFonts w:ascii="Courier New" w:hAnsi="Courier New"/>
      <w:noProof w:val="0"/>
      <w:sz w:val="24"/>
      <w:lang w:val="en-US"/>
    </w:rPr>
  </w:style>
  <w:style w:type="paragraph" w:customStyle="1" w:styleId="Technical5">
    <w:name w:val="Technical 5"/>
    <w:rsid w:val="00B22D05"/>
    <w:pPr>
      <w:tabs>
        <w:tab w:val="left" w:pos="-720"/>
      </w:tabs>
      <w:suppressAutoHyphens/>
      <w:ind w:firstLine="720"/>
    </w:pPr>
    <w:rPr>
      <w:rFonts w:ascii="Courier New" w:hAnsi="Courier New"/>
      <w:b/>
      <w:sz w:val="24"/>
    </w:rPr>
  </w:style>
  <w:style w:type="paragraph" w:customStyle="1" w:styleId="Technical6">
    <w:name w:val="Technical 6"/>
    <w:rsid w:val="00B22D05"/>
    <w:pPr>
      <w:tabs>
        <w:tab w:val="left" w:pos="-720"/>
      </w:tabs>
      <w:suppressAutoHyphens/>
      <w:ind w:firstLine="720"/>
    </w:pPr>
    <w:rPr>
      <w:rFonts w:ascii="Courier New" w:hAnsi="Courier New"/>
      <w:b/>
      <w:sz w:val="24"/>
    </w:rPr>
  </w:style>
  <w:style w:type="character" w:customStyle="1" w:styleId="Technical2">
    <w:name w:val="Technical 2"/>
    <w:basedOn w:val="DefaultParagraphFont"/>
    <w:rsid w:val="00B22D05"/>
    <w:rPr>
      <w:rFonts w:ascii="Courier New" w:hAnsi="Courier New"/>
      <w:noProof w:val="0"/>
      <w:sz w:val="24"/>
      <w:lang w:val="en-US"/>
    </w:rPr>
  </w:style>
  <w:style w:type="character" w:customStyle="1" w:styleId="Technical3">
    <w:name w:val="Technical 3"/>
    <w:basedOn w:val="DefaultParagraphFont"/>
    <w:rsid w:val="00B22D05"/>
    <w:rPr>
      <w:rFonts w:ascii="Courier New" w:hAnsi="Courier New"/>
      <w:noProof w:val="0"/>
      <w:sz w:val="24"/>
      <w:lang w:val="en-US"/>
    </w:rPr>
  </w:style>
  <w:style w:type="paragraph" w:customStyle="1" w:styleId="Technical4">
    <w:name w:val="Technical 4"/>
    <w:rsid w:val="00B22D05"/>
    <w:pPr>
      <w:tabs>
        <w:tab w:val="left" w:pos="-720"/>
      </w:tabs>
      <w:suppressAutoHyphens/>
    </w:pPr>
    <w:rPr>
      <w:rFonts w:ascii="Courier New" w:hAnsi="Courier New"/>
      <w:b/>
      <w:sz w:val="24"/>
    </w:rPr>
  </w:style>
  <w:style w:type="character" w:customStyle="1" w:styleId="Technical1">
    <w:name w:val="Technical 1"/>
    <w:basedOn w:val="DefaultParagraphFont"/>
    <w:rsid w:val="00B22D05"/>
    <w:rPr>
      <w:rFonts w:ascii="Courier New" w:hAnsi="Courier New"/>
      <w:noProof w:val="0"/>
      <w:sz w:val="24"/>
      <w:lang w:val="en-US"/>
    </w:rPr>
  </w:style>
  <w:style w:type="paragraph" w:customStyle="1" w:styleId="Technical7">
    <w:name w:val="Technical 7"/>
    <w:rsid w:val="00B22D05"/>
    <w:pPr>
      <w:tabs>
        <w:tab w:val="left" w:pos="-720"/>
      </w:tabs>
      <w:suppressAutoHyphens/>
      <w:ind w:firstLine="720"/>
    </w:pPr>
    <w:rPr>
      <w:rFonts w:ascii="Courier New" w:hAnsi="Courier New"/>
      <w:b/>
      <w:sz w:val="24"/>
    </w:rPr>
  </w:style>
  <w:style w:type="paragraph" w:customStyle="1" w:styleId="Technical8">
    <w:name w:val="Technical 8"/>
    <w:rsid w:val="00B22D05"/>
    <w:pPr>
      <w:tabs>
        <w:tab w:val="left" w:pos="-720"/>
      </w:tabs>
      <w:suppressAutoHyphens/>
      <w:ind w:firstLine="720"/>
    </w:pPr>
    <w:rPr>
      <w:rFonts w:ascii="Courier New" w:hAnsi="Courier New"/>
      <w:b/>
      <w:sz w:val="24"/>
    </w:rPr>
  </w:style>
  <w:style w:type="paragraph" w:styleId="TOC1">
    <w:name w:val="toc 1"/>
    <w:basedOn w:val="Normal"/>
    <w:next w:val="Normal"/>
    <w:semiHidden/>
    <w:rsid w:val="00B22D05"/>
    <w:pPr>
      <w:tabs>
        <w:tab w:val="right" w:leader="dot" w:pos="9360"/>
      </w:tabs>
      <w:suppressAutoHyphens/>
      <w:spacing w:before="480"/>
      <w:ind w:left="720" w:right="720" w:hanging="720"/>
    </w:pPr>
  </w:style>
  <w:style w:type="paragraph" w:styleId="TOC2">
    <w:name w:val="toc 2"/>
    <w:basedOn w:val="Normal"/>
    <w:next w:val="Normal"/>
    <w:semiHidden/>
    <w:rsid w:val="00B22D05"/>
    <w:pPr>
      <w:tabs>
        <w:tab w:val="right" w:leader="dot" w:pos="9360"/>
      </w:tabs>
      <w:suppressAutoHyphens/>
      <w:ind w:left="1440" w:right="720" w:hanging="720"/>
    </w:pPr>
  </w:style>
  <w:style w:type="paragraph" w:styleId="TOC3">
    <w:name w:val="toc 3"/>
    <w:basedOn w:val="Normal"/>
    <w:next w:val="Normal"/>
    <w:semiHidden/>
    <w:rsid w:val="00B22D05"/>
    <w:pPr>
      <w:tabs>
        <w:tab w:val="right" w:leader="dot" w:pos="9360"/>
      </w:tabs>
      <w:suppressAutoHyphens/>
      <w:ind w:left="2160" w:right="720" w:hanging="720"/>
    </w:pPr>
  </w:style>
  <w:style w:type="paragraph" w:styleId="TOC4">
    <w:name w:val="toc 4"/>
    <w:basedOn w:val="Normal"/>
    <w:next w:val="Normal"/>
    <w:semiHidden/>
    <w:rsid w:val="00B22D05"/>
    <w:pPr>
      <w:tabs>
        <w:tab w:val="right" w:leader="dot" w:pos="9360"/>
      </w:tabs>
      <w:suppressAutoHyphens/>
      <w:ind w:left="2880" w:right="720" w:hanging="720"/>
    </w:pPr>
  </w:style>
  <w:style w:type="paragraph" w:styleId="TOC5">
    <w:name w:val="toc 5"/>
    <w:basedOn w:val="Normal"/>
    <w:next w:val="Normal"/>
    <w:semiHidden/>
    <w:rsid w:val="00B22D05"/>
    <w:pPr>
      <w:tabs>
        <w:tab w:val="right" w:leader="dot" w:pos="9360"/>
      </w:tabs>
      <w:suppressAutoHyphens/>
      <w:ind w:left="3600" w:right="720" w:hanging="720"/>
    </w:pPr>
  </w:style>
  <w:style w:type="paragraph" w:styleId="TOC6">
    <w:name w:val="toc 6"/>
    <w:basedOn w:val="Normal"/>
    <w:next w:val="Normal"/>
    <w:semiHidden/>
    <w:rsid w:val="00B22D05"/>
    <w:pPr>
      <w:tabs>
        <w:tab w:val="right" w:pos="9360"/>
      </w:tabs>
      <w:suppressAutoHyphens/>
      <w:ind w:left="720" w:hanging="720"/>
    </w:pPr>
  </w:style>
  <w:style w:type="paragraph" w:styleId="TOC7">
    <w:name w:val="toc 7"/>
    <w:basedOn w:val="Normal"/>
    <w:next w:val="Normal"/>
    <w:semiHidden/>
    <w:rsid w:val="00B22D05"/>
    <w:pPr>
      <w:suppressAutoHyphens/>
      <w:ind w:left="720" w:hanging="720"/>
    </w:pPr>
  </w:style>
  <w:style w:type="paragraph" w:styleId="TOC8">
    <w:name w:val="toc 8"/>
    <w:basedOn w:val="Normal"/>
    <w:next w:val="Normal"/>
    <w:semiHidden/>
    <w:rsid w:val="00B22D05"/>
    <w:pPr>
      <w:tabs>
        <w:tab w:val="right" w:pos="9360"/>
      </w:tabs>
      <w:suppressAutoHyphens/>
      <w:ind w:left="720" w:hanging="720"/>
    </w:pPr>
  </w:style>
  <w:style w:type="paragraph" w:styleId="TOC9">
    <w:name w:val="toc 9"/>
    <w:basedOn w:val="Normal"/>
    <w:next w:val="Normal"/>
    <w:semiHidden/>
    <w:rsid w:val="00B22D05"/>
    <w:pPr>
      <w:tabs>
        <w:tab w:val="right" w:leader="dot" w:pos="9360"/>
      </w:tabs>
      <w:suppressAutoHyphens/>
      <w:ind w:left="720" w:hanging="720"/>
    </w:pPr>
  </w:style>
  <w:style w:type="paragraph" w:styleId="Index1">
    <w:name w:val="index 1"/>
    <w:basedOn w:val="Normal"/>
    <w:next w:val="Normal"/>
    <w:semiHidden/>
    <w:rsid w:val="00B22D05"/>
    <w:pPr>
      <w:tabs>
        <w:tab w:val="right" w:leader="dot" w:pos="9360"/>
      </w:tabs>
      <w:suppressAutoHyphens/>
      <w:ind w:left="1440" w:right="720" w:hanging="1440"/>
    </w:pPr>
  </w:style>
  <w:style w:type="paragraph" w:styleId="Index2">
    <w:name w:val="index 2"/>
    <w:basedOn w:val="Normal"/>
    <w:next w:val="Normal"/>
    <w:semiHidden/>
    <w:rsid w:val="00B22D05"/>
    <w:pPr>
      <w:tabs>
        <w:tab w:val="right" w:leader="dot" w:pos="9360"/>
      </w:tabs>
      <w:suppressAutoHyphens/>
      <w:ind w:left="1440" w:right="720" w:hanging="720"/>
    </w:pPr>
  </w:style>
  <w:style w:type="paragraph" w:styleId="TOAHeading">
    <w:name w:val="toa heading"/>
    <w:basedOn w:val="Normal"/>
    <w:next w:val="Normal"/>
    <w:semiHidden/>
    <w:rsid w:val="00B22D05"/>
    <w:pPr>
      <w:tabs>
        <w:tab w:val="right" w:pos="9360"/>
      </w:tabs>
      <w:suppressAutoHyphens/>
    </w:pPr>
  </w:style>
  <w:style w:type="paragraph" w:styleId="Caption">
    <w:name w:val="caption"/>
    <w:basedOn w:val="Normal"/>
    <w:next w:val="Normal"/>
    <w:qFormat/>
    <w:rsid w:val="00B22D05"/>
  </w:style>
  <w:style w:type="character" w:customStyle="1" w:styleId="EquationCaption">
    <w:name w:val="_Equation Caption"/>
    <w:rsid w:val="00B22D05"/>
  </w:style>
  <w:style w:type="paragraph" w:styleId="Header">
    <w:name w:val="header"/>
    <w:basedOn w:val="Normal"/>
    <w:rsid w:val="00B22D05"/>
    <w:pPr>
      <w:tabs>
        <w:tab w:val="center" w:pos="4320"/>
        <w:tab w:val="right" w:pos="8640"/>
      </w:tabs>
    </w:pPr>
  </w:style>
  <w:style w:type="paragraph" w:styleId="Footer">
    <w:name w:val="footer"/>
    <w:basedOn w:val="Normal"/>
    <w:rsid w:val="00B22D05"/>
    <w:pPr>
      <w:tabs>
        <w:tab w:val="center" w:pos="4320"/>
        <w:tab w:val="right" w:pos="8640"/>
      </w:tabs>
    </w:pPr>
  </w:style>
  <w:style w:type="character" w:styleId="PageNumber">
    <w:name w:val="page number"/>
    <w:basedOn w:val="DefaultParagraphFont"/>
    <w:rsid w:val="00B22D05"/>
  </w:style>
  <w:style w:type="paragraph" w:styleId="BodyText2">
    <w:name w:val="Body Text 2"/>
    <w:basedOn w:val="Normal"/>
    <w:rsid w:val="00B22D05"/>
    <w:pPr>
      <w:ind w:left="1496"/>
    </w:pPr>
    <w:rPr>
      <w:color w:val="000000"/>
    </w:rPr>
  </w:style>
  <w:style w:type="paragraph" w:styleId="BodyText">
    <w:name w:val="Body Text"/>
    <w:basedOn w:val="Normal"/>
    <w:rsid w:val="00B22D05"/>
    <w:rPr>
      <w:b/>
    </w:rPr>
  </w:style>
  <w:style w:type="paragraph" w:styleId="BodyTextIndent3">
    <w:name w:val="Body Text Indent 3"/>
    <w:basedOn w:val="Normal"/>
    <w:rsid w:val="00B22D05"/>
    <w:pPr>
      <w:ind w:left="1440" w:hanging="1440"/>
    </w:pPr>
    <w:rPr>
      <w:b/>
    </w:rPr>
  </w:style>
  <w:style w:type="paragraph" w:styleId="BodyTextIndent2">
    <w:name w:val="Body Text Indent 2"/>
    <w:basedOn w:val="Normal"/>
    <w:rsid w:val="00B22D05"/>
    <w:pPr>
      <w:ind w:left="1440" w:hanging="1440"/>
    </w:pPr>
    <w:rPr>
      <w:b/>
    </w:rPr>
  </w:style>
  <w:style w:type="paragraph" w:customStyle="1" w:styleId="BodyText21">
    <w:name w:val="Body Text 21"/>
    <w:basedOn w:val="Normal"/>
    <w:rsid w:val="00B22D05"/>
    <w:pPr>
      <w:ind w:left="1440" w:hanging="1440"/>
    </w:pPr>
  </w:style>
  <w:style w:type="paragraph" w:styleId="Subtitle">
    <w:name w:val="Subtitle"/>
    <w:basedOn w:val="Normal"/>
    <w:qFormat/>
    <w:rsid w:val="00B22D05"/>
  </w:style>
  <w:style w:type="paragraph" w:styleId="BodyText3">
    <w:name w:val="Body Text 3"/>
    <w:basedOn w:val="Normal"/>
    <w:rsid w:val="00B22D05"/>
    <w:rPr>
      <w:b/>
      <w:caps/>
    </w:rPr>
  </w:style>
  <w:style w:type="paragraph" w:styleId="BodyTextIndent">
    <w:name w:val="Body Text Indent"/>
    <w:basedOn w:val="Normal"/>
    <w:rsid w:val="00B22D05"/>
    <w:pPr>
      <w:ind w:left="1440" w:hanging="1440"/>
    </w:pPr>
    <w:rPr>
      <w:sz w:val="22"/>
    </w:rPr>
  </w:style>
  <w:style w:type="character" w:styleId="CommentReference">
    <w:name w:val="annotation reference"/>
    <w:basedOn w:val="DefaultParagraphFont"/>
    <w:semiHidden/>
    <w:rsid w:val="007173A9"/>
    <w:rPr>
      <w:sz w:val="16"/>
      <w:szCs w:val="16"/>
    </w:rPr>
  </w:style>
  <w:style w:type="paragraph" w:styleId="CommentText">
    <w:name w:val="annotation text"/>
    <w:basedOn w:val="Normal"/>
    <w:link w:val="CommentTextChar"/>
    <w:semiHidden/>
    <w:rsid w:val="007173A9"/>
    <w:rPr>
      <w:sz w:val="20"/>
    </w:rPr>
  </w:style>
  <w:style w:type="paragraph" w:styleId="CommentSubject">
    <w:name w:val="annotation subject"/>
    <w:basedOn w:val="CommentText"/>
    <w:next w:val="CommentText"/>
    <w:semiHidden/>
    <w:rsid w:val="007173A9"/>
    <w:rPr>
      <w:b/>
      <w:bCs/>
    </w:rPr>
  </w:style>
  <w:style w:type="paragraph" w:styleId="BalloonText">
    <w:name w:val="Balloon Text"/>
    <w:basedOn w:val="Normal"/>
    <w:semiHidden/>
    <w:rsid w:val="007173A9"/>
    <w:rPr>
      <w:rFonts w:ascii="Tahoma" w:hAnsi="Tahoma" w:cs="Tahoma"/>
      <w:sz w:val="16"/>
      <w:szCs w:val="16"/>
    </w:rPr>
  </w:style>
  <w:style w:type="paragraph" w:styleId="ListParagraph">
    <w:name w:val="List Paragraph"/>
    <w:basedOn w:val="Normal"/>
    <w:uiPriority w:val="34"/>
    <w:qFormat/>
    <w:rsid w:val="006C724C"/>
    <w:pPr>
      <w:spacing w:after="200" w:line="276" w:lineRule="auto"/>
      <w:ind w:left="720"/>
    </w:pPr>
    <w:rPr>
      <w:rFonts w:ascii="Calibri" w:hAnsi="Calibri"/>
      <w:sz w:val="22"/>
      <w:szCs w:val="22"/>
    </w:rPr>
  </w:style>
  <w:style w:type="character" w:customStyle="1" w:styleId="CommentTextChar">
    <w:name w:val="Comment Text Char"/>
    <w:basedOn w:val="DefaultParagraphFont"/>
    <w:link w:val="CommentText"/>
    <w:semiHidden/>
    <w:rsid w:val="00167876"/>
    <w:rPr>
      <w:rFonts w:ascii="Arial" w:hAnsi="Arial"/>
    </w:rPr>
  </w:style>
</w:styles>
</file>

<file path=word/webSettings.xml><?xml version="1.0" encoding="utf-8"?>
<w:webSettings xmlns:r="http://schemas.openxmlformats.org/officeDocument/2006/relationships" xmlns:w="http://schemas.openxmlformats.org/wordprocessingml/2006/main">
  <w:divs>
    <w:div w:id="984237684">
      <w:bodyDiv w:val="1"/>
      <w:marLeft w:val="0"/>
      <w:marRight w:val="0"/>
      <w:marTop w:val="0"/>
      <w:marBottom w:val="0"/>
      <w:divBdr>
        <w:top w:val="none" w:sz="0" w:space="0" w:color="auto"/>
        <w:left w:val="none" w:sz="0" w:space="0" w:color="auto"/>
        <w:bottom w:val="none" w:sz="0" w:space="0" w:color="auto"/>
        <w:right w:val="none" w:sz="0" w:space="0" w:color="auto"/>
      </w:divBdr>
    </w:div>
    <w:div w:id="1339892147">
      <w:bodyDiv w:val="1"/>
      <w:marLeft w:val="0"/>
      <w:marRight w:val="0"/>
      <w:marTop w:val="0"/>
      <w:marBottom w:val="0"/>
      <w:divBdr>
        <w:top w:val="none" w:sz="0" w:space="0" w:color="auto"/>
        <w:left w:val="none" w:sz="0" w:space="0" w:color="auto"/>
        <w:bottom w:val="none" w:sz="0" w:space="0" w:color="auto"/>
        <w:right w:val="none" w:sz="0" w:space="0" w:color="auto"/>
      </w:divBdr>
    </w:div>
    <w:div w:id="16674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147F-0EFD-4F34-9BC8-36B69EDF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_ACCREDITATION</vt:lpstr>
    </vt:vector>
  </TitlesOfParts>
  <Company>Pennsylvania Dental Association</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_ACCREDITATION</dc:title>
  <dc:creator>Pennsylvania Dental Association</dc:creator>
  <cp:keywords>w original Ex Session Proc</cp:keywords>
  <cp:lastModifiedBy>Donna</cp:lastModifiedBy>
  <cp:revision>2</cp:revision>
  <cp:lastPrinted>2019-02-26T20:47:00Z</cp:lastPrinted>
  <dcterms:created xsi:type="dcterms:W3CDTF">2019-08-01T16:36:00Z</dcterms:created>
  <dcterms:modified xsi:type="dcterms:W3CDTF">2019-08-01T16:36:00Z</dcterms:modified>
</cp:coreProperties>
</file>